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E8C9" w14:textId="77777777" w:rsidR="00644BBB" w:rsidRPr="001D7956" w:rsidRDefault="00644BBB" w:rsidP="00BF79B5">
      <w:pPr>
        <w:spacing w:line="360" w:lineRule="auto"/>
        <w:rPr>
          <w:rFonts w:ascii="Times New Roman" w:hAnsi="Times New Roman" w:cs="Times New Roman"/>
          <w:color w:val="000000" w:themeColor="text1"/>
          <w:lang w:val="en-GB"/>
        </w:rPr>
      </w:pPr>
    </w:p>
    <w:p w14:paraId="285BCB76" w14:textId="55FE3306" w:rsidR="00644BBB" w:rsidRPr="001D7956" w:rsidRDefault="00000000" w:rsidP="00630896">
      <w:pPr>
        <w:spacing w:line="360" w:lineRule="auto"/>
        <w:rPr>
          <w:rFonts w:ascii="Times New Roman" w:hAnsi="Times New Roman" w:cs="Times New Roman"/>
          <w:b/>
          <w:bCs/>
          <w:color w:val="000000" w:themeColor="text1"/>
          <w:lang w:val="en-GB"/>
        </w:rPr>
      </w:pPr>
      <w:bookmarkStart w:id="0" w:name="_Toc244034897"/>
      <w:r w:rsidRPr="001D7956">
        <w:rPr>
          <w:rFonts w:cs="Times New Roman"/>
          <w:b/>
          <w:bCs/>
          <w:color w:val="000000" w:themeColor="text1"/>
          <w:szCs w:val="24"/>
          <w:lang w:val="en-GB"/>
        </w:rPr>
        <w:t>Introduction</w:t>
      </w:r>
      <w:bookmarkEnd w:id="0"/>
    </w:p>
    <w:p w14:paraId="64994621" w14:textId="14808873" w:rsidR="00843CEB" w:rsidRPr="001D7956" w:rsidRDefault="00000000">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Monkeyface prickleback (</w:t>
      </w:r>
      <w:proofErr w:type="spellStart"/>
      <w:r w:rsidRPr="001D7956">
        <w:rPr>
          <w:rFonts w:ascii="Times New Roman" w:hAnsi="Times New Roman" w:cs="Times New Roman"/>
          <w:color w:val="000000" w:themeColor="text1"/>
          <w:sz w:val="24"/>
          <w:szCs w:val="24"/>
          <w:lang w:val="en-GB"/>
        </w:rPr>
        <w:t>Cebidichthys</w:t>
      </w:r>
      <w:proofErr w:type="spellEnd"/>
      <w:r w:rsidRPr="001D7956">
        <w:rPr>
          <w:rFonts w:ascii="Times New Roman" w:hAnsi="Times New Roman" w:cs="Times New Roman"/>
          <w:color w:val="000000" w:themeColor="text1"/>
          <w:sz w:val="24"/>
          <w:szCs w:val="24"/>
          <w:lang w:val="en-GB"/>
        </w:rPr>
        <w:t xml:space="preserve"> violaceus) is an intriguing, but yet to be demonstrated, culture species for Monterey Bay, California. </w:t>
      </w:r>
      <w:r w:rsidR="000B545E" w:rsidRPr="001D7956">
        <w:rPr>
          <w:rFonts w:ascii="Times New Roman" w:hAnsi="Times New Roman" w:cs="Times New Roman"/>
          <w:color w:val="000000" w:themeColor="text1"/>
          <w:sz w:val="24"/>
          <w:szCs w:val="24"/>
          <w:lang w:val="en-GB"/>
        </w:rPr>
        <w:t xml:space="preserve">It is herbivorous, and its soft-textured, flavoursome flesh may fill a commercial market niche for a species of unagi (freshwater eel) whose wild populations are dwindling and for which commercial rearing has not been successful (California Sea Grant, </w:t>
      </w:r>
      <w:r w:rsidR="00FE238D" w:rsidRPr="001D7956">
        <w:rPr>
          <w:rFonts w:ascii="Times New Roman" w:hAnsi="Times New Roman" w:cs="Times New Roman"/>
          <w:color w:val="000000" w:themeColor="text1"/>
          <w:sz w:val="24"/>
          <w:szCs w:val="24"/>
          <w:lang w:val="en-GB"/>
        </w:rPr>
        <w:t>2026</w:t>
      </w:r>
      <w:r w:rsidR="000B545E" w:rsidRPr="001D7956">
        <w:rPr>
          <w:rFonts w:ascii="Times New Roman" w:hAnsi="Times New Roman" w:cs="Times New Roman"/>
          <w:color w:val="000000" w:themeColor="text1"/>
          <w:sz w:val="24"/>
          <w:szCs w:val="24"/>
          <w:lang w:val="en-GB"/>
        </w:rPr>
        <w:t>; Townsend et al., 2023). California is a reasonable test</w:t>
      </w:r>
      <w:r w:rsidR="000B545E" w:rsidRPr="001D7956">
        <w:rPr>
          <w:rFonts w:ascii="Times New Roman" w:hAnsi="Times New Roman" w:cs="Times New Roman"/>
          <w:color w:val="000000" w:themeColor="text1"/>
          <w:sz w:val="24"/>
          <w:szCs w:val="24"/>
          <w:lang w:val="en-GB"/>
        </w:rPr>
        <w:t>,</w:t>
      </w:r>
      <w:r w:rsidR="000B545E" w:rsidRPr="001D7956">
        <w:rPr>
          <w:rFonts w:ascii="Times New Roman" w:hAnsi="Times New Roman" w:cs="Times New Roman"/>
          <w:color w:val="000000" w:themeColor="text1"/>
          <w:sz w:val="24"/>
          <w:szCs w:val="24"/>
          <w:lang w:val="en-GB"/>
        </w:rPr>
        <w:t xml:space="preserve"> which -- because </w:t>
      </w:r>
      <w:r w:rsidR="000B545E" w:rsidRPr="001D7956">
        <w:rPr>
          <w:rFonts w:ascii="Times New Roman" w:hAnsi="Times New Roman" w:cs="Times New Roman"/>
          <w:color w:val="000000" w:themeColor="text1"/>
          <w:sz w:val="24"/>
          <w:szCs w:val="24"/>
          <w:lang w:val="en-GB"/>
        </w:rPr>
        <w:t>Moss Landing Marine Labs</w:t>
      </w:r>
      <w:r w:rsidR="000B545E" w:rsidRPr="001D7956">
        <w:rPr>
          <w:rFonts w:ascii="Times New Roman" w:hAnsi="Times New Roman" w:cs="Times New Roman"/>
          <w:color w:val="000000" w:themeColor="text1"/>
          <w:sz w:val="24"/>
          <w:szCs w:val="24"/>
          <w:lang w:val="en-GB"/>
        </w:rPr>
        <w:t xml:space="preserve"> have already raised the species in captivity (</w:t>
      </w:r>
      <w:proofErr w:type="spellStart"/>
      <w:r w:rsidR="000B545E" w:rsidRPr="001D7956">
        <w:rPr>
          <w:rFonts w:ascii="Times New Roman" w:hAnsi="Times New Roman" w:cs="Times New Roman"/>
          <w:color w:val="000000" w:themeColor="text1"/>
          <w:sz w:val="24"/>
          <w:szCs w:val="24"/>
          <w:lang w:val="en-GB"/>
        </w:rPr>
        <w:t>Hinterman</w:t>
      </w:r>
      <w:proofErr w:type="spellEnd"/>
      <w:r w:rsidR="000B545E" w:rsidRPr="001D7956">
        <w:rPr>
          <w:rFonts w:ascii="Times New Roman" w:hAnsi="Times New Roman" w:cs="Times New Roman"/>
          <w:color w:val="000000" w:themeColor="text1"/>
          <w:sz w:val="24"/>
          <w:szCs w:val="24"/>
          <w:lang w:val="en-GB"/>
        </w:rPr>
        <w:t xml:space="preserve"> et al., 2026) and restaurants could do pilot sales. The supply chain and the commercial price is still not verified. In their essay they claim success is achieved through governance, a reliable production system, and technical, environmental, and financial feasibility</w:t>
      </w:r>
      <w:r w:rsidRPr="001D7956">
        <w:rPr>
          <w:rFonts w:ascii="Times New Roman" w:hAnsi="Times New Roman" w:cs="Times New Roman"/>
          <w:color w:val="000000" w:themeColor="text1"/>
          <w:sz w:val="24"/>
          <w:szCs w:val="24"/>
          <w:lang w:val="en-GB"/>
        </w:rPr>
        <w:t>.</w:t>
      </w:r>
    </w:p>
    <w:p w14:paraId="67245F24" w14:textId="77777777" w:rsidR="00644BBB" w:rsidRPr="001D7956" w:rsidRDefault="00000000" w:rsidP="00BF79B5">
      <w:pPr>
        <w:pStyle w:val="Heading1"/>
        <w:rPr>
          <w:rFonts w:cs="Times New Roman"/>
          <w:szCs w:val="24"/>
          <w:lang w:val="en-GB"/>
        </w:rPr>
      </w:pPr>
      <w:bookmarkStart w:id="1" w:name="_Toc244034898"/>
      <w:r w:rsidRPr="001D7956">
        <w:rPr>
          <w:rFonts w:cs="Times New Roman"/>
          <w:szCs w:val="24"/>
          <w:lang w:val="en-GB"/>
        </w:rPr>
        <w:t>Discussion</w:t>
      </w:r>
      <w:bookmarkEnd w:id="1"/>
    </w:p>
    <w:p w14:paraId="7962CB48" w14:textId="77777777" w:rsidR="00843CEB" w:rsidRPr="001D7956" w:rsidRDefault="00000000">
      <w:pPr>
        <w:pStyle w:val="Heading2"/>
        <w:rPr>
          <w:lang w:val="en-GB"/>
        </w:rPr>
      </w:pPr>
      <w:bookmarkStart w:id="2" w:name="_Toc244034899"/>
      <w:r w:rsidRPr="001D7956">
        <w:rPr>
          <w:lang w:val="en-GB"/>
        </w:rPr>
        <w:t>Key factor 1: Governance and public acceptance</w:t>
      </w:r>
      <w:bookmarkEnd w:id="2"/>
    </w:p>
    <w:p w14:paraId="5191A668" w14:textId="344B2773" w:rsidR="00843CEB" w:rsidRPr="001D7956" w:rsidRDefault="000B545E">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Governance is comprised of all the rules, institutions, and practices that influence production, environmental protection, market access and social responsibility. As there is no commercial history with the species, regulatory certainty is most important for investing – compliance must be included within the pilot. There is a lot of governance in the areas of environmental feeds and environmental water. Pricklebacks are herbivores and in one trial, they were able to thrive on a </w:t>
      </w:r>
      <w:r w:rsidRPr="001D7956">
        <w:rPr>
          <w:rFonts w:ascii="Times New Roman" w:hAnsi="Times New Roman" w:cs="Times New Roman"/>
          <w:color w:val="000000" w:themeColor="text1"/>
          <w:sz w:val="24"/>
          <w:szCs w:val="24"/>
          <w:lang w:val="en-GB"/>
        </w:rPr>
        <w:t>four-month</w:t>
      </w:r>
      <w:r w:rsidRPr="001D7956">
        <w:rPr>
          <w:rFonts w:ascii="Times New Roman" w:hAnsi="Times New Roman" w:cs="Times New Roman"/>
          <w:color w:val="000000" w:themeColor="text1"/>
          <w:sz w:val="24"/>
          <w:szCs w:val="24"/>
          <w:lang w:val="en-GB"/>
        </w:rPr>
        <w:t xml:space="preserve"> fish-free pellet (Townsend et al., 2023). Feed conversion ratio (FCR), energy use and water use, mortality and nutrient discharge should therefore be measured. All facilities in California must annually register with the California Department of Fish and Wildlife (CDFW) (California Code of Regulations (CCR) Title 14 §235), and / or, activities in coastal waters or offshore waters can require additional permits from several USEPA and USFWS agencies (NOAA Fisheries, 2025)</w:t>
      </w:r>
      <w:r w:rsidR="00000000" w:rsidRPr="001D7956">
        <w:rPr>
          <w:rFonts w:ascii="Times New Roman" w:hAnsi="Times New Roman" w:cs="Times New Roman"/>
          <w:color w:val="000000" w:themeColor="text1"/>
          <w:sz w:val="24"/>
          <w:szCs w:val="24"/>
          <w:lang w:val="en-GB"/>
        </w:rPr>
        <w:t>. Therefore, a regulation-compliant land-based pilot plant should be put in place in the Monterey Bay area prior to going into commercial operation, along with a water discharge system and biosecurity protocols.</w:t>
      </w:r>
    </w:p>
    <w:p w14:paraId="5BA9BF91" w14:textId="0DC67246" w:rsidR="00843CEB" w:rsidRPr="001D7956" w:rsidRDefault="00000000">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Social governance issues involve community involvement, jobs, trust in and distribution of economic advantages. Commitments to local production can help create jobs and can build up local seafood supply chains while giving restaurants a traceable Californian product. But the issue </w:t>
      </w:r>
      <w:r w:rsidRPr="001D7956">
        <w:rPr>
          <w:rFonts w:ascii="Times New Roman" w:hAnsi="Times New Roman" w:cs="Times New Roman"/>
          <w:color w:val="000000" w:themeColor="text1"/>
          <w:sz w:val="24"/>
          <w:szCs w:val="24"/>
          <w:lang w:val="en-GB"/>
        </w:rPr>
        <w:lastRenderedPageBreak/>
        <w:t xml:space="preserve">of water use, energy needs and process effluents and risk of damaging native ecosystems may hinder public acceptance. </w:t>
      </w:r>
    </w:p>
    <w:p w14:paraId="1A270B13" w14:textId="57BCFEDF" w:rsidR="00843CEB" w:rsidRPr="001D7956" w:rsidRDefault="00000000">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From hatchery production to processing, distribution and final sale, accountability is essential in economic governance (Hopkins et al., 2024). </w:t>
      </w:r>
      <w:r w:rsidR="000B545E" w:rsidRPr="001D7956">
        <w:rPr>
          <w:rFonts w:ascii="Times New Roman" w:hAnsi="Times New Roman" w:cs="Times New Roman"/>
          <w:color w:val="000000" w:themeColor="text1"/>
          <w:sz w:val="24"/>
          <w:szCs w:val="24"/>
          <w:lang w:val="en-GB"/>
        </w:rPr>
        <w:t>There is increased traceability when vulnerable areas in processing and distribution are minimised (Hopkins et al., 2024)</w:t>
      </w:r>
      <w:r w:rsidRPr="001D7956">
        <w:rPr>
          <w:rFonts w:ascii="Times New Roman" w:hAnsi="Times New Roman" w:cs="Times New Roman"/>
          <w:color w:val="000000" w:themeColor="text1"/>
          <w:sz w:val="24"/>
          <w:szCs w:val="24"/>
          <w:lang w:val="en-GB"/>
        </w:rPr>
        <w:t>.</w:t>
      </w:r>
    </w:p>
    <w:p w14:paraId="0D3DB176" w14:textId="77777777" w:rsidR="00644BBB" w:rsidRPr="001D7956" w:rsidRDefault="00000000" w:rsidP="00BF79B5">
      <w:pPr>
        <w:pStyle w:val="Heading1"/>
        <w:pageBreakBefore/>
        <w:rPr>
          <w:rFonts w:cs="Times New Roman"/>
          <w:szCs w:val="24"/>
          <w:lang w:val="en-GB"/>
        </w:rPr>
      </w:pPr>
      <w:bookmarkStart w:id="3" w:name="_Toc244034903"/>
      <w:r w:rsidRPr="001D7956">
        <w:rPr>
          <w:rFonts w:cs="Times New Roman"/>
          <w:szCs w:val="24"/>
          <w:lang w:val="en-GB"/>
        </w:rPr>
        <w:lastRenderedPageBreak/>
        <w:t>References</w:t>
      </w:r>
      <w:bookmarkEnd w:id="3"/>
    </w:p>
    <w:p w14:paraId="747853A5" w14:textId="77777777" w:rsidR="00525A66" w:rsidRPr="001D7956" w:rsidRDefault="00525A66">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California Code of Regulations, Title 14, §235. Aquaculture registration. Available at: </w:t>
      </w:r>
      <w:hyperlink r:id="rId8" w:history="1">
        <w:r w:rsidRPr="001D7956">
          <w:rPr>
            <w:rStyle w:val="Hyperlink"/>
            <w:rFonts w:ascii="Times New Roman" w:hAnsi="Times New Roman" w:cs="Times New Roman"/>
            <w:color w:val="000000" w:themeColor="text1"/>
            <w:sz w:val="24"/>
            <w:szCs w:val="24"/>
            <w:lang w:val="en-GB"/>
          </w:rPr>
          <w:t>https://www.law.cornell.edu/regulations/california/14-CCR-235</w:t>
        </w:r>
      </w:hyperlink>
      <w:r w:rsidRPr="001D7956">
        <w:rPr>
          <w:rFonts w:ascii="Times New Roman" w:hAnsi="Times New Roman" w:cs="Times New Roman"/>
          <w:color w:val="000000" w:themeColor="text1"/>
          <w:sz w:val="24"/>
          <w:szCs w:val="24"/>
          <w:lang w:val="en-GB"/>
        </w:rPr>
        <w:t xml:space="preserve"> (Accessed: 29 October 2026).</w:t>
      </w:r>
    </w:p>
    <w:p w14:paraId="472DD621" w14:textId="77777777" w:rsidR="00525A66" w:rsidRPr="001D7956" w:rsidRDefault="00525A66">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California Sea Grant (2026). Development of techniques for the cultivation of monkeyface pricklebacks as a sustainable alternative to unagi. Available at: </w:t>
      </w:r>
      <w:hyperlink r:id="rId9" w:history="1">
        <w:r w:rsidRPr="001D7956">
          <w:rPr>
            <w:rStyle w:val="Hyperlink"/>
            <w:rFonts w:ascii="Times New Roman" w:hAnsi="Times New Roman" w:cs="Times New Roman"/>
            <w:color w:val="000000" w:themeColor="text1"/>
            <w:sz w:val="24"/>
            <w:szCs w:val="24"/>
            <w:lang w:val="en-GB"/>
          </w:rPr>
          <w:t>https://caseagrant.ucsd.edu/our-work/research-projects/development-techniques-cultivation-monkeyface-pricklebacks-sustainable</w:t>
        </w:r>
      </w:hyperlink>
      <w:r w:rsidRPr="001D7956">
        <w:rPr>
          <w:rFonts w:ascii="Times New Roman" w:hAnsi="Times New Roman" w:cs="Times New Roman"/>
          <w:color w:val="000000" w:themeColor="text1"/>
          <w:sz w:val="24"/>
          <w:szCs w:val="24"/>
          <w:lang w:val="en-GB"/>
        </w:rPr>
        <w:t xml:space="preserve"> (Accessed: 29 October 2026).</w:t>
      </w:r>
    </w:p>
    <w:p w14:paraId="793ED5FE" w14:textId="77777777" w:rsidR="00525A66" w:rsidRPr="001D7956" w:rsidRDefault="00525A66" w:rsidP="00BF79B5">
      <w:pPr>
        <w:spacing w:line="360" w:lineRule="auto"/>
        <w:jc w:val="both"/>
        <w:rPr>
          <w:rFonts w:ascii="Times New Roman" w:hAnsi="Times New Roman" w:cs="Times New Roman"/>
          <w:color w:val="000000" w:themeColor="text1"/>
          <w:sz w:val="24"/>
          <w:szCs w:val="24"/>
          <w:lang w:val="en-GB"/>
        </w:rPr>
      </w:pPr>
      <w:proofErr w:type="spellStart"/>
      <w:r w:rsidRPr="001D7956">
        <w:rPr>
          <w:rFonts w:ascii="Times New Roman" w:hAnsi="Times New Roman" w:cs="Times New Roman"/>
          <w:color w:val="000000" w:themeColor="text1"/>
          <w:sz w:val="24"/>
          <w:szCs w:val="24"/>
          <w:lang w:val="en-GB"/>
        </w:rPr>
        <w:t>Hinterman</w:t>
      </w:r>
      <w:proofErr w:type="spellEnd"/>
      <w:r w:rsidRPr="001D7956">
        <w:rPr>
          <w:rFonts w:ascii="Times New Roman" w:hAnsi="Times New Roman" w:cs="Times New Roman"/>
          <w:color w:val="000000" w:themeColor="text1"/>
          <w:sz w:val="24"/>
          <w:szCs w:val="24"/>
          <w:lang w:val="en-GB"/>
        </w:rPr>
        <w:t xml:space="preserve">, K.D., Hoehn, M.R., Gardner, L.D. and Hamilton, S.L., 2026. Reproduction and embryonic development of monkeyface prickleback </w:t>
      </w:r>
      <w:proofErr w:type="spellStart"/>
      <w:r w:rsidRPr="001D7956">
        <w:rPr>
          <w:rFonts w:ascii="Times New Roman" w:hAnsi="Times New Roman" w:cs="Times New Roman"/>
          <w:color w:val="000000" w:themeColor="text1"/>
          <w:sz w:val="24"/>
          <w:szCs w:val="24"/>
          <w:lang w:val="en-GB"/>
        </w:rPr>
        <w:t>Cebidichthys</w:t>
      </w:r>
      <w:proofErr w:type="spellEnd"/>
      <w:r w:rsidRPr="001D7956">
        <w:rPr>
          <w:rFonts w:ascii="Times New Roman" w:hAnsi="Times New Roman" w:cs="Times New Roman"/>
          <w:color w:val="000000" w:themeColor="text1"/>
          <w:sz w:val="24"/>
          <w:szCs w:val="24"/>
          <w:lang w:val="en-GB"/>
        </w:rPr>
        <w:t xml:space="preserve"> violaceus in captivity. Journal of Fish Biology, 108(2), pp.543-551.</w:t>
      </w:r>
    </w:p>
    <w:p w14:paraId="7AA47B83" w14:textId="77777777" w:rsidR="00525A66" w:rsidRPr="001D7956" w:rsidRDefault="00525A66" w:rsidP="00BF79B5">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Hopkins, C.R., Roberts, S.I., </w:t>
      </w:r>
      <w:proofErr w:type="spellStart"/>
      <w:r w:rsidRPr="001D7956">
        <w:rPr>
          <w:rFonts w:ascii="Times New Roman" w:hAnsi="Times New Roman" w:cs="Times New Roman"/>
          <w:color w:val="000000" w:themeColor="text1"/>
          <w:sz w:val="24"/>
          <w:szCs w:val="24"/>
          <w:lang w:val="en-GB"/>
        </w:rPr>
        <w:t>Caveen</w:t>
      </w:r>
      <w:proofErr w:type="spellEnd"/>
      <w:r w:rsidRPr="001D7956">
        <w:rPr>
          <w:rFonts w:ascii="Times New Roman" w:hAnsi="Times New Roman" w:cs="Times New Roman"/>
          <w:color w:val="000000" w:themeColor="text1"/>
          <w:sz w:val="24"/>
          <w:szCs w:val="24"/>
          <w:lang w:val="en-GB"/>
        </w:rPr>
        <w:t>, A.J., Graham, C. and Burns, N.M., 2024. Improved traceability in seafood supply chains is achievable by minimising vulnerable nodes in processing and distribution networks. Marine Policy, 159, p.105910. </w:t>
      </w:r>
    </w:p>
    <w:p w14:paraId="4D9D04F5" w14:textId="77777777" w:rsidR="00525A66" w:rsidRPr="001D7956" w:rsidRDefault="00525A66">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NOAA Fisheries, 2025. Guide to leasing, permitting, and authorizing commercial aquaculture operations off the California coast. Available at: </w:t>
      </w:r>
      <w:hyperlink r:id="rId10" w:history="1">
        <w:r w:rsidRPr="001D7956">
          <w:rPr>
            <w:rStyle w:val="Hyperlink"/>
            <w:rFonts w:ascii="Times New Roman" w:hAnsi="Times New Roman" w:cs="Times New Roman"/>
            <w:color w:val="000000" w:themeColor="text1"/>
            <w:sz w:val="24"/>
            <w:szCs w:val="24"/>
            <w:lang w:val="en-GB"/>
          </w:rPr>
          <w:t>https://www.fisheries.noaa.gov/resource/document/guide-leasing-permitting-and-authorizing-commercial-aquaculture-operations</w:t>
        </w:r>
      </w:hyperlink>
      <w:r w:rsidRPr="001D7956">
        <w:rPr>
          <w:rFonts w:ascii="Times New Roman" w:hAnsi="Times New Roman" w:cs="Times New Roman"/>
          <w:color w:val="000000" w:themeColor="text1"/>
          <w:sz w:val="24"/>
          <w:szCs w:val="24"/>
          <w:lang w:val="en-GB"/>
        </w:rPr>
        <w:t xml:space="preserve"> (Accessed: 27 October 2026).</w:t>
      </w:r>
    </w:p>
    <w:p w14:paraId="1BD407EB" w14:textId="77777777" w:rsidR="00525A66" w:rsidRPr="001D7956" w:rsidRDefault="00525A66">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 xml:space="preserve">Townsend, L., Hoehn, M., Hinterman, K., Gardner, L., Johnson, R., Graham, M. and Hamilton, S., 2023. Investigation of monkeyface prickleback </w:t>
      </w:r>
      <w:proofErr w:type="spellStart"/>
      <w:r w:rsidRPr="001D7956">
        <w:rPr>
          <w:rFonts w:ascii="Times New Roman" w:hAnsi="Times New Roman" w:cs="Times New Roman"/>
          <w:color w:val="000000" w:themeColor="text1"/>
          <w:sz w:val="24"/>
          <w:szCs w:val="24"/>
          <w:lang w:val="en-GB"/>
        </w:rPr>
        <w:t>Cebidichthys</w:t>
      </w:r>
      <w:proofErr w:type="spellEnd"/>
      <w:r w:rsidRPr="001D7956">
        <w:rPr>
          <w:rFonts w:ascii="Times New Roman" w:hAnsi="Times New Roman" w:cs="Times New Roman"/>
          <w:color w:val="000000" w:themeColor="text1"/>
          <w:sz w:val="24"/>
          <w:szCs w:val="24"/>
          <w:lang w:val="en-GB"/>
        </w:rPr>
        <w:t xml:space="preserve"> violaceus for commercial finfish aquaculture with alternative feeds [conference abstract]. Aquaculture America 2023, New Orleans, 23–26 February. Available at: </w:t>
      </w:r>
      <w:hyperlink r:id="rId11" w:history="1">
        <w:r w:rsidRPr="001D7956">
          <w:rPr>
            <w:rStyle w:val="Hyperlink"/>
            <w:rFonts w:ascii="Times New Roman" w:hAnsi="Times New Roman" w:cs="Times New Roman"/>
            <w:color w:val="000000" w:themeColor="text1"/>
            <w:sz w:val="24"/>
            <w:szCs w:val="24"/>
            <w:lang w:val="en-GB"/>
          </w:rPr>
          <w:t>https://www.was.org/Meeting/Program/PaperDetail/160691</w:t>
        </w:r>
      </w:hyperlink>
      <w:r w:rsidRPr="001D7956">
        <w:rPr>
          <w:rFonts w:ascii="Times New Roman" w:hAnsi="Times New Roman" w:cs="Times New Roman"/>
          <w:color w:val="000000" w:themeColor="text1"/>
          <w:sz w:val="24"/>
          <w:szCs w:val="24"/>
          <w:lang w:val="en-GB"/>
        </w:rPr>
        <w:t xml:space="preserve"> (Accessed: 29 October 2026).</w:t>
      </w:r>
    </w:p>
    <w:p w14:paraId="30407ED7" w14:textId="77777777" w:rsidR="00525A66" w:rsidRPr="001D7956" w:rsidRDefault="00525A66">
      <w:pPr>
        <w:spacing w:line="360" w:lineRule="auto"/>
        <w:jc w:val="both"/>
        <w:rPr>
          <w:rFonts w:ascii="Times New Roman" w:hAnsi="Times New Roman" w:cs="Times New Roman"/>
          <w:color w:val="000000" w:themeColor="text1"/>
          <w:sz w:val="24"/>
          <w:szCs w:val="24"/>
          <w:lang w:val="en-GB"/>
        </w:rPr>
      </w:pPr>
      <w:r w:rsidRPr="001D7956">
        <w:rPr>
          <w:rFonts w:ascii="Times New Roman" w:hAnsi="Times New Roman" w:cs="Times New Roman"/>
          <w:color w:val="000000" w:themeColor="text1"/>
          <w:sz w:val="24"/>
          <w:szCs w:val="24"/>
          <w:lang w:val="en-GB"/>
        </w:rPr>
        <w:t>Townsend, L.C., 2024. Determining best diet and temperature regime of monkeyface pricklebacks (</w:t>
      </w:r>
      <w:proofErr w:type="spellStart"/>
      <w:r w:rsidRPr="001D7956">
        <w:rPr>
          <w:rFonts w:ascii="Times New Roman" w:hAnsi="Times New Roman" w:cs="Times New Roman"/>
          <w:color w:val="000000" w:themeColor="text1"/>
          <w:sz w:val="24"/>
          <w:szCs w:val="24"/>
          <w:lang w:val="en-GB"/>
        </w:rPr>
        <w:t>Cebidichthys</w:t>
      </w:r>
      <w:proofErr w:type="spellEnd"/>
      <w:r w:rsidRPr="001D7956">
        <w:rPr>
          <w:rFonts w:ascii="Times New Roman" w:hAnsi="Times New Roman" w:cs="Times New Roman"/>
          <w:color w:val="000000" w:themeColor="text1"/>
          <w:sz w:val="24"/>
          <w:szCs w:val="24"/>
          <w:lang w:val="en-GB"/>
        </w:rPr>
        <w:t xml:space="preserve"> violaceus) for aquaculture. MSc thesis, San José State University. Available at: </w:t>
      </w:r>
      <w:hyperlink r:id="rId12" w:history="1">
        <w:r w:rsidRPr="001D7956">
          <w:rPr>
            <w:rStyle w:val="Hyperlink"/>
            <w:rFonts w:ascii="Times New Roman" w:hAnsi="Times New Roman" w:cs="Times New Roman"/>
            <w:color w:val="000000" w:themeColor="text1"/>
            <w:sz w:val="24"/>
            <w:szCs w:val="24"/>
            <w:lang w:val="en-GB"/>
          </w:rPr>
          <w:t>https://scholarworks.sjsu.edu/etd_theses/5611</w:t>
        </w:r>
      </w:hyperlink>
      <w:r w:rsidRPr="001D7956">
        <w:rPr>
          <w:rFonts w:ascii="Times New Roman" w:hAnsi="Times New Roman" w:cs="Times New Roman"/>
          <w:color w:val="000000" w:themeColor="text1"/>
          <w:sz w:val="24"/>
          <w:szCs w:val="24"/>
          <w:lang w:val="en-GB"/>
        </w:rPr>
        <w:t xml:space="preserve"> (Accessed: 29 October 2026).</w:t>
      </w:r>
    </w:p>
    <w:p w14:paraId="0178CE8C" w14:textId="77777777" w:rsidR="00921388" w:rsidRPr="001D7956" w:rsidRDefault="00921388" w:rsidP="00BF79B5">
      <w:pPr>
        <w:spacing w:after="120" w:line="360" w:lineRule="auto"/>
        <w:ind w:left="360" w:hanging="360"/>
        <w:rPr>
          <w:rFonts w:ascii="Times New Roman" w:hAnsi="Times New Roman" w:cs="Times New Roman"/>
          <w:color w:val="000000" w:themeColor="text1"/>
          <w:sz w:val="24"/>
          <w:szCs w:val="24"/>
          <w:lang w:val="en-GB"/>
        </w:rPr>
      </w:pPr>
    </w:p>
    <w:sectPr w:rsidR="00921388" w:rsidRPr="001D7956" w:rsidSect="00C5122F">
      <w:footerReference w:type="default" r:id="rId13"/>
      <w:pgSz w:w="12240" w:h="15840"/>
      <w:pgMar w:top="1152" w:right="1440" w:bottom="115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BDD6C" w14:textId="77777777" w:rsidR="007E1064" w:rsidRDefault="007E1064">
      <w:pPr>
        <w:spacing w:after="0" w:line="240" w:lineRule="auto"/>
      </w:pPr>
      <w:r>
        <w:separator/>
      </w:r>
    </w:p>
  </w:endnote>
  <w:endnote w:type="continuationSeparator" w:id="0">
    <w:p w14:paraId="1191F2EA" w14:textId="77777777" w:rsidR="007E1064" w:rsidRDefault="007E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360543"/>
      <w:docPartObj>
        <w:docPartGallery w:val="Page Numbers (Bottom of Page)"/>
        <w:docPartUnique/>
      </w:docPartObj>
    </w:sdtPr>
    <w:sdtEndPr>
      <w:rPr>
        <w:rFonts w:ascii="Times New Roman" w:hAnsi="Times New Roman" w:cs="Times New Roman"/>
        <w:noProof/>
        <w:sz w:val="20"/>
        <w:szCs w:val="20"/>
      </w:rPr>
    </w:sdtEndPr>
    <w:sdtContent>
      <w:p w14:paraId="3BE7E25C" w14:textId="77777777" w:rsidR="00C5122F" w:rsidRPr="00C5122F" w:rsidRDefault="00C5122F">
        <w:pPr>
          <w:pStyle w:val="Footer"/>
          <w:jc w:val="right"/>
          <w:rPr>
            <w:rFonts w:ascii="Times New Roman" w:hAnsi="Times New Roman" w:cs="Times New Roman"/>
            <w:sz w:val="20"/>
            <w:szCs w:val="20"/>
          </w:rPr>
        </w:pPr>
        <w:r w:rsidRPr="00C5122F">
          <w:rPr>
            <w:rFonts w:ascii="Times New Roman" w:hAnsi="Times New Roman" w:cs="Times New Roman"/>
            <w:sz w:val="20"/>
            <w:szCs w:val="20"/>
          </w:rPr>
          <w:fldChar w:fldCharType="begin"/>
        </w:r>
        <w:r w:rsidRPr="00C5122F">
          <w:rPr>
            <w:rFonts w:ascii="Times New Roman" w:hAnsi="Times New Roman" w:cs="Times New Roman"/>
            <w:sz w:val="20"/>
            <w:szCs w:val="20"/>
          </w:rPr>
          <w:instrText xml:space="preserve"> PAGE   \* MERGEFORMAT </w:instrText>
        </w:r>
        <w:r w:rsidRPr="00C5122F">
          <w:rPr>
            <w:rFonts w:ascii="Times New Roman" w:hAnsi="Times New Roman" w:cs="Times New Roman"/>
            <w:sz w:val="20"/>
            <w:szCs w:val="20"/>
          </w:rPr>
          <w:fldChar w:fldCharType="separate"/>
        </w:r>
        <w:r w:rsidRPr="00C5122F">
          <w:rPr>
            <w:rFonts w:ascii="Times New Roman" w:hAnsi="Times New Roman" w:cs="Times New Roman"/>
            <w:noProof/>
            <w:sz w:val="20"/>
            <w:szCs w:val="20"/>
          </w:rPr>
          <w:t>2</w:t>
        </w:r>
        <w:r w:rsidRPr="00C5122F">
          <w:rPr>
            <w:rFonts w:ascii="Times New Roman" w:hAnsi="Times New Roman" w:cs="Times New Roman"/>
            <w:noProof/>
            <w:sz w:val="20"/>
            <w:szCs w:val="20"/>
          </w:rPr>
          <w:fldChar w:fldCharType="end"/>
        </w:r>
      </w:p>
    </w:sdtContent>
  </w:sdt>
  <w:p w14:paraId="49E3B398" w14:textId="77777777" w:rsidR="00644BBB" w:rsidRDefault="00644B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E059" w14:textId="77777777" w:rsidR="007E1064" w:rsidRDefault="007E1064">
      <w:pPr>
        <w:spacing w:after="0" w:line="240" w:lineRule="auto"/>
      </w:pPr>
      <w:r>
        <w:separator/>
      </w:r>
    </w:p>
  </w:footnote>
  <w:footnote w:type="continuationSeparator" w:id="0">
    <w:p w14:paraId="5D047024" w14:textId="77777777" w:rsidR="007E1064" w:rsidRDefault="007E1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710057">
    <w:abstractNumId w:val="8"/>
  </w:num>
  <w:num w:numId="2" w16cid:durableId="1659966766">
    <w:abstractNumId w:val="6"/>
  </w:num>
  <w:num w:numId="3" w16cid:durableId="467942550">
    <w:abstractNumId w:val="5"/>
  </w:num>
  <w:num w:numId="4" w16cid:durableId="331377416">
    <w:abstractNumId w:val="4"/>
  </w:num>
  <w:num w:numId="5" w16cid:durableId="1457718017">
    <w:abstractNumId w:val="7"/>
  </w:num>
  <w:num w:numId="6" w16cid:durableId="960110047">
    <w:abstractNumId w:val="3"/>
  </w:num>
  <w:num w:numId="7" w16cid:durableId="426268427">
    <w:abstractNumId w:val="2"/>
  </w:num>
  <w:num w:numId="8" w16cid:durableId="1429694653">
    <w:abstractNumId w:val="1"/>
  </w:num>
  <w:num w:numId="9" w16cid:durableId="155596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326"/>
    <w:rsid w:val="000A7403"/>
    <w:rsid w:val="000B545E"/>
    <w:rsid w:val="000C59BA"/>
    <w:rsid w:val="000E07F7"/>
    <w:rsid w:val="000F601A"/>
    <w:rsid w:val="001177DD"/>
    <w:rsid w:val="0015074B"/>
    <w:rsid w:val="001C5BBB"/>
    <w:rsid w:val="001D7956"/>
    <w:rsid w:val="001E39CC"/>
    <w:rsid w:val="00284504"/>
    <w:rsid w:val="00290C93"/>
    <w:rsid w:val="0029639D"/>
    <w:rsid w:val="002B05EA"/>
    <w:rsid w:val="00303940"/>
    <w:rsid w:val="00310F48"/>
    <w:rsid w:val="00325DF7"/>
    <w:rsid w:val="00326F90"/>
    <w:rsid w:val="00336C16"/>
    <w:rsid w:val="00336D8A"/>
    <w:rsid w:val="00352094"/>
    <w:rsid w:val="0037487E"/>
    <w:rsid w:val="00374BE7"/>
    <w:rsid w:val="00374F9F"/>
    <w:rsid w:val="003B7A95"/>
    <w:rsid w:val="00431A7C"/>
    <w:rsid w:val="004334FB"/>
    <w:rsid w:val="00445CBF"/>
    <w:rsid w:val="00460409"/>
    <w:rsid w:val="00467F96"/>
    <w:rsid w:val="00470BA8"/>
    <w:rsid w:val="004A3228"/>
    <w:rsid w:val="004C26FA"/>
    <w:rsid w:val="004E7691"/>
    <w:rsid w:val="004F4AC9"/>
    <w:rsid w:val="00525A66"/>
    <w:rsid w:val="00541086"/>
    <w:rsid w:val="00542457"/>
    <w:rsid w:val="00562AD1"/>
    <w:rsid w:val="005D67EF"/>
    <w:rsid w:val="00604E42"/>
    <w:rsid w:val="00615AC8"/>
    <w:rsid w:val="00617F0F"/>
    <w:rsid w:val="00630896"/>
    <w:rsid w:val="006350D7"/>
    <w:rsid w:val="00644BBB"/>
    <w:rsid w:val="00645113"/>
    <w:rsid w:val="006747C0"/>
    <w:rsid w:val="0069538D"/>
    <w:rsid w:val="006A1715"/>
    <w:rsid w:val="00726E42"/>
    <w:rsid w:val="007408D0"/>
    <w:rsid w:val="007524D2"/>
    <w:rsid w:val="007711C1"/>
    <w:rsid w:val="00792FE5"/>
    <w:rsid w:val="00793C35"/>
    <w:rsid w:val="007B4452"/>
    <w:rsid w:val="007C295C"/>
    <w:rsid w:val="007E1064"/>
    <w:rsid w:val="007E36B7"/>
    <w:rsid w:val="00843CEB"/>
    <w:rsid w:val="008472CF"/>
    <w:rsid w:val="00873861"/>
    <w:rsid w:val="0087586E"/>
    <w:rsid w:val="008A5139"/>
    <w:rsid w:val="00917B3B"/>
    <w:rsid w:val="00921388"/>
    <w:rsid w:val="009663B2"/>
    <w:rsid w:val="009B5459"/>
    <w:rsid w:val="00A44522"/>
    <w:rsid w:val="00AA1D8D"/>
    <w:rsid w:val="00AA65CD"/>
    <w:rsid w:val="00B07D3D"/>
    <w:rsid w:val="00B225BB"/>
    <w:rsid w:val="00B3121F"/>
    <w:rsid w:val="00B35CF9"/>
    <w:rsid w:val="00B376D9"/>
    <w:rsid w:val="00B47730"/>
    <w:rsid w:val="00B760CF"/>
    <w:rsid w:val="00BF79B5"/>
    <w:rsid w:val="00C02803"/>
    <w:rsid w:val="00C210E4"/>
    <w:rsid w:val="00C5122F"/>
    <w:rsid w:val="00C617B1"/>
    <w:rsid w:val="00C8404E"/>
    <w:rsid w:val="00CA3C98"/>
    <w:rsid w:val="00CB0664"/>
    <w:rsid w:val="00CD3819"/>
    <w:rsid w:val="00CD52B7"/>
    <w:rsid w:val="00CD6EF4"/>
    <w:rsid w:val="00D01987"/>
    <w:rsid w:val="00D3702E"/>
    <w:rsid w:val="00D4411F"/>
    <w:rsid w:val="00D45A46"/>
    <w:rsid w:val="00D62E0C"/>
    <w:rsid w:val="00D77D90"/>
    <w:rsid w:val="00D82C65"/>
    <w:rsid w:val="00DE2BB1"/>
    <w:rsid w:val="00E179CB"/>
    <w:rsid w:val="00E63CF0"/>
    <w:rsid w:val="00E64943"/>
    <w:rsid w:val="00E72E17"/>
    <w:rsid w:val="00EA6715"/>
    <w:rsid w:val="00EC3026"/>
    <w:rsid w:val="00F1219C"/>
    <w:rsid w:val="00F345F8"/>
    <w:rsid w:val="00F83DCE"/>
    <w:rsid w:val="00F8585E"/>
    <w:rsid w:val="00FC4F75"/>
    <w:rsid w:val="00FC693F"/>
    <w:rsid w:val="00FD27D5"/>
    <w:rsid w:val="00FE2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B40DF"/>
  <w14:defaultImageDpi w14:val="300"/>
  <w15:docId w15:val="{DB0E28DF-C20A-4CF5-BCCF-17B4F5D1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5D67EF"/>
    <w:pPr>
      <w:keepNext/>
      <w:keepLines/>
      <w:spacing w:before="480" w:after="0" w:line="360" w:lineRule="auto"/>
      <w:jc w:val="both"/>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7408D0"/>
    <w:pPr>
      <w:keepNext/>
      <w:keepLines/>
      <w:spacing w:before="200" w:after="0" w:line="360" w:lineRule="auto"/>
      <w:jc w:val="both"/>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D67EF"/>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7408D0"/>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5139"/>
    <w:rPr>
      <w:color w:val="0000FF" w:themeColor="hyperlink"/>
      <w:u w:val="single"/>
    </w:rPr>
  </w:style>
  <w:style w:type="character" w:styleId="UnresolvedMention">
    <w:name w:val="Unresolved Mention"/>
    <w:basedOn w:val="DefaultParagraphFont"/>
    <w:uiPriority w:val="99"/>
    <w:semiHidden/>
    <w:unhideWhenUsed/>
    <w:rsid w:val="008A5139"/>
    <w:rPr>
      <w:color w:val="605E5C"/>
      <w:shd w:val="clear" w:color="auto" w:fill="E1DFDD"/>
    </w:rPr>
  </w:style>
  <w:style w:type="paragraph" w:styleId="TOC1">
    <w:name w:val="toc 1"/>
    <w:basedOn w:val="Normal"/>
    <w:next w:val="Normal"/>
    <w:autoRedefine/>
    <w:uiPriority w:val="39"/>
    <w:unhideWhenUsed/>
    <w:rsid w:val="00C5122F"/>
    <w:pPr>
      <w:spacing w:after="100"/>
    </w:pPr>
  </w:style>
  <w:style w:type="paragraph" w:styleId="TOC2">
    <w:name w:val="toc 2"/>
    <w:basedOn w:val="Normal"/>
    <w:next w:val="Normal"/>
    <w:autoRedefine/>
    <w:uiPriority w:val="39"/>
    <w:unhideWhenUsed/>
    <w:rsid w:val="00C5122F"/>
    <w:pPr>
      <w:spacing w:after="100"/>
      <w:ind w:left="220"/>
    </w:pPr>
  </w:style>
  <w:style w:type="table" w:customStyle="1" w:styleId="TableGrid1">
    <w:name w:val="Table Grid1"/>
    <w:basedOn w:val="TableNormal"/>
    <w:next w:val="TableGrid"/>
    <w:uiPriority w:val="39"/>
    <w:rsid w:val="00D82C65"/>
    <w:pPr>
      <w:spacing w:after="0" w:line="240" w:lineRule="auto"/>
    </w:pPr>
    <w:rPr>
      <w:rFonts w:ascii="Aptos" w:eastAsia="Aptos" w:hAnsi="Aptos" w:cs="Times New Roman"/>
      <w:kern w:val="2"/>
      <w:sz w:val="24"/>
      <w:szCs w:val="24"/>
      <w:lang w:val="en-GB"/>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2C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regulations/california/14-CCR-235"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works.sjsu.edu/etd_theses/56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org/Meeting/Program/PaperDetail/16069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isheries.noaa.gov/resource/document/guide-leasing-permitting-and-authorizing-commercial-aquaculture-operations" TargetMode="External"/><Relationship Id="rId4" Type="http://schemas.openxmlformats.org/officeDocument/2006/relationships/settings" Target="settings.xml"/><Relationship Id="rId9" Type="http://schemas.openxmlformats.org/officeDocument/2006/relationships/hyperlink" Target="https://caseagrant.ucsd.edu/our-work/research-projects/development-techniques-cultivation-monkeyface-pricklebacks-sustainab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generated by python-docx</dc:description>
  <cp:lastModifiedBy>USER</cp:lastModifiedBy>
  <cp:revision>2</cp:revision>
  <dcterms:created xsi:type="dcterms:W3CDTF">2026-10-29T11:47:00Z</dcterms:created>
  <dcterms:modified xsi:type="dcterms:W3CDTF">2026-10-29T11:47:00Z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7c5ca954401c0009363bf116c78810e24ba0cc293cc8ce5aa09749c83eb8d3d3</vt:lpwstr>
  </property>
</Properties>
</file>