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E092DE" w14:textId="77777777" w:rsidR="00843CEB" w:rsidRPr="00120403" w:rsidRDefault="00000000">
      <w:pPr>
        <w:pStyle w:val="Heading2"/>
        <w:rPr>
          <w:lang w:val="en-GB"/>
        </w:rPr>
      </w:pPr>
      <w:bookmarkStart w:id="0" w:name="_Toc244034900"/>
      <w:r w:rsidRPr="00120403">
        <w:rPr>
          <w:lang w:val="en-GB"/>
        </w:rPr>
        <w:t>Key factor 2: A reliable hatchery-to-market production system</w:t>
      </w:r>
      <w:bookmarkEnd w:id="0"/>
    </w:p>
    <w:p w14:paraId="506F4CFA" w14:textId="086F3EBD" w:rsidR="00843CEB" w:rsidRPr="00120403" w:rsidRDefault="000B545E">
      <w:pPr>
        <w:spacing w:line="360" w:lineRule="auto"/>
        <w:jc w:val="both"/>
        <w:rPr>
          <w:rFonts w:ascii="Times New Roman" w:hAnsi="Times New Roman" w:cs="Times New Roman"/>
          <w:color w:val="000000" w:themeColor="text1"/>
          <w:sz w:val="24"/>
          <w:szCs w:val="24"/>
          <w:lang w:val="en-GB"/>
        </w:rPr>
      </w:pPr>
      <w:r w:rsidRPr="00120403">
        <w:rPr>
          <w:rFonts w:ascii="Times New Roman" w:hAnsi="Times New Roman" w:cs="Times New Roman"/>
          <w:color w:val="000000" w:themeColor="text1"/>
          <w:sz w:val="24"/>
          <w:szCs w:val="24"/>
          <w:lang w:val="en-GB"/>
        </w:rPr>
        <w:t>These are three well-known species that tell you how to be successful. Selected breeding stock of Atlantic salmon are used for spawning in freshwater hatcheries and they are exported as 40–120 g smolts and kept in sea cages for up to 2 years and harvested at 2 kg (</w:t>
      </w:r>
      <w:r w:rsidR="001E39CC" w:rsidRPr="00120403">
        <w:rPr>
          <w:rFonts w:ascii="Times New Roman" w:hAnsi="Times New Roman" w:cs="Times New Roman"/>
          <w:color w:val="000000" w:themeColor="text1"/>
          <w:sz w:val="24"/>
          <w:szCs w:val="24"/>
          <w:lang w:val="en-GB"/>
        </w:rPr>
        <w:t>Afewerki et al.</w:t>
      </w:r>
      <w:r w:rsidRPr="00120403">
        <w:rPr>
          <w:rFonts w:ascii="Times New Roman" w:hAnsi="Times New Roman" w:cs="Times New Roman"/>
          <w:color w:val="000000" w:themeColor="text1"/>
          <w:sz w:val="24"/>
          <w:szCs w:val="24"/>
          <w:lang w:val="en-GB"/>
        </w:rPr>
        <w:t>, 20</w:t>
      </w:r>
      <w:r w:rsidR="001E39CC" w:rsidRPr="00120403">
        <w:rPr>
          <w:rFonts w:ascii="Times New Roman" w:hAnsi="Times New Roman" w:cs="Times New Roman"/>
          <w:color w:val="000000" w:themeColor="text1"/>
          <w:sz w:val="24"/>
          <w:szCs w:val="24"/>
          <w:lang w:val="en-GB"/>
        </w:rPr>
        <w:t>23, p.760</w:t>
      </w:r>
      <w:r w:rsidRPr="00120403">
        <w:rPr>
          <w:rFonts w:ascii="Times New Roman" w:hAnsi="Times New Roman" w:cs="Times New Roman"/>
          <w:color w:val="000000" w:themeColor="text1"/>
          <w:sz w:val="24"/>
          <w:szCs w:val="24"/>
          <w:lang w:val="en-GB"/>
        </w:rPr>
        <w:t>). Government support, late maturing strains and sheltered sites were factors contributing to success in Norway (</w:t>
      </w:r>
      <w:r w:rsidR="001E39CC" w:rsidRPr="00120403">
        <w:rPr>
          <w:rFonts w:ascii="Times New Roman" w:hAnsi="Times New Roman" w:cs="Times New Roman"/>
          <w:color w:val="000000" w:themeColor="text1"/>
          <w:sz w:val="24"/>
          <w:szCs w:val="24"/>
          <w:lang w:val="en-GB"/>
        </w:rPr>
        <w:t>Afewerki et al., 2023, p.760</w:t>
      </w:r>
      <w:r w:rsidRPr="00120403">
        <w:rPr>
          <w:rFonts w:ascii="Times New Roman" w:hAnsi="Times New Roman" w:cs="Times New Roman"/>
          <w:color w:val="000000" w:themeColor="text1"/>
          <w:sz w:val="24"/>
          <w:szCs w:val="24"/>
          <w:lang w:val="en-GB"/>
        </w:rPr>
        <w:t>). Domesticated, specific-pathogen-free (</w:t>
      </w:r>
      <w:proofErr w:type="spellStart"/>
      <w:r w:rsidRPr="00120403">
        <w:rPr>
          <w:rFonts w:ascii="Times New Roman" w:hAnsi="Times New Roman" w:cs="Times New Roman"/>
          <w:color w:val="000000" w:themeColor="text1"/>
          <w:sz w:val="24"/>
          <w:szCs w:val="24"/>
          <w:lang w:val="en-GB"/>
        </w:rPr>
        <w:t>s.p.f.</w:t>
      </w:r>
      <w:proofErr w:type="spellEnd"/>
      <w:r w:rsidRPr="00120403">
        <w:rPr>
          <w:rFonts w:ascii="Times New Roman" w:hAnsi="Times New Roman" w:cs="Times New Roman"/>
          <w:color w:val="000000" w:themeColor="text1"/>
          <w:sz w:val="24"/>
          <w:szCs w:val="24"/>
          <w:lang w:val="en-GB"/>
        </w:rPr>
        <w:t xml:space="preserve">) stock has replaced wild-caught stock and selection for growth has accelerated by as much as 10% for every generation of Pacific white shrimp (Penaeus </w:t>
      </w:r>
      <w:proofErr w:type="spellStart"/>
      <w:r w:rsidRPr="00120403">
        <w:rPr>
          <w:rFonts w:ascii="Times New Roman" w:hAnsi="Times New Roman" w:cs="Times New Roman"/>
          <w:color w:val="000000" w:themeColor="text1"/>
          <w:sz w:val="24"/>
          <w:szCs w:val="24"/>
          <w:lang w:val="en-GB"/>
        </w:rPr>
        <w:t>vannamei</w:t>
      </w:r>
      <w:proofErr w:type="spellEnd"/>
      <w:r w:rsidRPr="00120403">
        <w:rPr>
          <w:rFonts w:ascii="Times New Roman" w:hAnsi="Times New Roman" w:cs="Times New Roman"/>
          <w:color w:val="000000" w:themeColor="text1"/>
          <w:sz w:val="24"/>
          <w:szCs w:val="24"/>
          <w:lang w:val="en-GB"/>
        </w:rPr>
        <w:t>) over wild shrimp (</w:t>
      </w:r>
      <w:proofErr w:type="spellStart"/>
      <w:r w:rsidRPr="00120403">
        <w:rPr>
          <w:rFonts w:ascii="Times New Roman" w:hAnsi="Times New Roman" w:cs="Times New Roman"/>
          <w:color w:val="000000" w:themeColor="text1"/>
          <w:sz w:val="24"/>
          <w:szCs w:val="24"/>
          <w:lang w:val="en-GB"/>
        </w:rPr>
        <w:t>Wyban</w:t>
      </w:r>
      <w:proofErr w:type="spellEnd"/>
      <w:r w:rsidRPr="00120403">
        <w:rPr>
          <w:rFonts w:ascii="Times New Roman" w:hAnsi="Times New Roman" w:cs="Times New Roman"/>
          <w:color w:val="000000" w:themeColor="text1"/>
          <w:sz w:val="24"/>
          <w:szCs w:val="24"/>
          <w:lang w:val="en-GB"/>
        </w:rPr>
        <w:t>, 2019, p.1). Japanese eel fails: (carnivorous) feeding ration and its complex life cycle render the production of a Japanese eel viable once a lifetime impossible. The Japanese eel's high predatory diet and complex life cycle make it impossible to produce a Japanese eel at a sustainable level throughout its life cycle (Townsend et al., 2023). Pricklebacks are positioned to attack the market of the eel but do not want to be the next victim of the eel's hatchery bottleneck.</w:t>
      </w:r>
    </w:p>
    <w:p w14:paraId="58E8F619" w14:textId="6AC7FCF3" w:rsidR="00843CEB" w:rsidRPr="00120403" w:rsidRDefault="00000000">
      <w:pPr>
        <w:spacing w:line="360" w:lineRule="auto"/>
        <w:jc w:val="both"/>
        <w:rPr>
          <w:rFonts w:ascii="Times New Roman" w:hAnsi="Times New Roman" w:cs="Times New Roman"/>
          <w:color w:val="000000" w:themeColor="text1"/>
          <w:sz w:val="24"/>
          <w:szCs w:val="24"/>
          <w:lang w:val="en-GB"/>
        </w:rPr>
      </w:pPr>
      <w:r w:rsidRPr="00120403">
        <w:rPr>
          <w:rFonts w:ascii="Times New Roman" w:hAnsi="Times New Roman" w:cs="Times New Roman"/>
          <w:color w:val="000000" w:themeColor="text1"/>
          <w:sz w:val="24"/>
          <w:szCs w:val="24"/>
          <w:lang w:val="en-GB"/>
        </w:rPr>
        <w:t xml:space="preserve">Broodstock management and reproduction form the first production stage. To take advantage of the spawning activity and produce healthy eggs, suitable adult fishes have to be maintained in controlled conditions. </w:t>
      </w:r>
      <w:proofErr w:type="spellStart"/>
      <w:r w:rsidRPr="00120403">
        <w:rPr>
          <w:rFonts w:ascii="Times New Roman" w:hAnsi="Times New Roman" w:cs="Times New Roman"/>
          <w:color w:val="000000" w:themeColor="text1"/>
          <w:sz w:val="24"/>
          <w:szCs w:val="24"/>
          <w:lang w:val="en-GB"/>
        </w:rPr>
        <w:t>Hinterman</w:t>
      </w:r>
      <w:proofErr w:type="spellEnd"/>
      <w:r w:rsidRPr="00120403">
        <w:rPr>
          <w:rFonts w:ascii="Times New Roman" w:hAnsi="Times New Roman" w:cs="Times New Roman"/>
          <w:color w:val="000000" w:themeColor="text1"/>
          <w:sz w:val="24"/>
          <w:szCs w:val="24"/>
          <w:lang w:val="en-GB"/>
        </w:rPr>
        <w:t xml:space="preserve"> et al. (2026) documented captive spawning, cohesive egg clutches and male guarding in monkeyface pricklebacks. Hatching commenced about 23 days after fertilisation at 13°C, with larvae measuring about 7.4 mm (</w:t>
      </w:r>
      <w:proofErr w:type="spellStart"/>
      <w:r w:rsidRPr="00120403">
        <w:rPr>
          <w:rFonts w:ascii="Times New Roman" w:hAnsi="Times New Roman" w:cs="Times New Roman"/>
          <w:color w:val="000000" w:themeColor="text1"/>
          <w:sz w:val="24"/>
          <w:szCs w:val="24"/>
          <w:lang w:val="en-GB"/>
        </w:rPr>
        <w:t>Hinterman</w:t>
      </w:r>
      <w:proofErr w:type="spellEnd"/>
      <w:r w:rsidRPr="00120403">
        <w:rPr>
          <w:rFonts w:ascii="Times New Roman" w:hAnsi="Times New Roman" w:cs="Times New Roman"/>
          <w:color w:val="000000" w:themeColor="text1"/>
          <w:sz w:val="24"/>
          <w:szCs w:val="24"/>
          <w:lang w:val="en-GB"/>
        </w:rPr>
        <w:t xml:space="preserve"> et al., 2026, p.543). </w:t>
      </w:r>
      <w:r w:rsidR="000B545E" w:rsidRPr="00120403">
        <w:rPr>
          <w:rFonts w:ascii="Times New Roman" w:hAnsi="Times New Roman" w:cs="Times New Roman"/>
          <w:color w:val="000000" w:themeColor="text1"/>
          <w:sz w:val="24"/>
          <w:szCs w:val="24"/>
          <w:lang w:val="en-GB"/>
        </w:rPr>
        <w:t>Larvae have only been reared as long as 18 days after hatching on live food (</w:t>
      </w:r>
      <w:proofErr w:type="spellStart"/>
      <w:r w:rsidR="00120403" w:rsidRPr="00120403">
        <w:rPr>
          <w:rFonts w:ascii="Times New Roman" w:hAnsi="Times New Roman" w:cs="Times New Roman"/>
          <w:color w:val="000000" w:themeColor="text1"/>
          <w:sz w:val="24"/>
          <w:szCs w:val="24"/>
          <w:lang w:val="en-GB"/>
        </w:rPr>
        <w:t>Hinterman</w:t>
      </w:r>
      <w:proofErr w:type="spellEnd"/>
      <w:r w:rsidR="000B545E" w:rsidRPr="00120403">
        <w:rPr>
          <w:rFonts w:ascii="Times New Roman" w:hAnsi="Times New Roman" w:cs="Times New Roman"/>
          <w:color w:val="000000" w:themeColor="text1"/>
          <w:sz w:val="24"/>
          <w:szCs w:val="24"/>
          <w:lang w:val="en-GB"/>
        </w:rPr>
        <w:t xml:space="preserve"> et al. 2026, p.543), and fertilised broods only occurred when one male was kept with one or more females (California Sea Grant, </w:t>
      </w:r>
      <w:r w:rsidR="00FE238D" w:rsidRPr="00120403">
        <w:rPr>
          <w:rFonts w:ascii="Times New Roman" w:hAnsi="Times New Roman" w:cs="Times New Roman"/>
          <w:color w:val="000000" w:themeColor="text1"/>
          <w:sz w:val="24"/>
          <w:szCs w:val="24"/>
          <w:lang w:val="en-GB"/>
        </w:rPr>
        <w:t>2026</w:t>
      </w:r>
      <w:r w:rsidR="000B545E" w:rsidRPr="00120403">
        <w:rPr>
          <w:rFonts w:ascii="Times New Roman" w:hAnsi="Times New Roman" w:cs="Times New Roman"/>
          <w:color w:val="000000" w:themeColor="text1"/>
          <w:sz w:val="24"/>
          <w:szCs w:val="24"/>
          <w:lang w:val="en-GB"/>
        </w:rPr>
        <w:t>). It is a foundation for hatchery development and future research is needed to determine larval survival and weaning rates and the cost of repeat spawning. Grow-out is the process of growing juveniles to larger commercially viable size. A RAS that is able to control all three, temperature, oxygen, filtration and waste removal might be suitable for this (Udayakumar et al., 2025) as juveniles grew fastest at 20-23°C (Townsend, 2024).</w:t>
      </w:r>
    </w:p>
    <w:p w14:paraId="412E40CA" w14:textId="2AC0FC8C" w:rsidR="00843CEB" w:rsidRPr="00120403" w:rsidRDefault="00000000" w:rsidP="000B545E">
      <w:pPr>
        <w:spacing w:line="360" w:lineRule="auto"/>
        <w:jc w:val="both"/>
        <w:rPr>
          <w:rFonts w:ascii="Times New Roman" w:hAnsi="Times New Roman" w:cs="Times New Roman"/>
          <w:color w:val="000000" w:themeColor="text1"/>
          <w:sz w:val="24"/>
          <w:szCs w:val="24"/>
          <w:lang w:val="en-GB"/>
        </w:rPr>
      </w:pPr>
      <w:r w:rsidRPr="00120403">
        <w:rPr>
          <w:rFonts w:ascii="Times New Roman" w:hAnsi="Times New Roman" w:cs="Times New Roman"/>
          <w:color w:val="000000" w:themeColor="text1"/>
          <w:sz w:val="24"/>
          <w:szCs w:val="24"/>
          <w:lang w:val="en-GB"/>
        </w:rPr>
        <w:t xml:space="preserve">Grow-out raises juveniles to a commercially viable harvest size. A RAS that controls temperature, oxygen, filtration and waste removal could suit this (Udayakumar et al., 2025), since juveniles grew fastest at 20–23°C (Townsend, 2024). However, appropriate stocking densities and shelter and temperature conditions must be determined via experimentation and not directly from salmon or trout production. </w:t>
      </w:r>
      <w:r w:rsidR="000B545E" w:rsidRPr="00120403">
        <w:rPr>
          <w:rFonts w:ascii="Times New Roman" w:hAnsi="Times New Roman" w:cs="Times New Roman"/>
          <w:color w:val="000000" w:themeColor="text1"/>
          <w:sz w:val="24"/>
          <w:szCs w:val="24"/>
          <w:lang w:val="en-GB"/>
        </w:rPr>
        <w:t xml:space="preserve">Diets did not differ significantly in growth rate during four months of feed trial but diets containing the mixed seaweed–soy pellet performed best, and diets with soy-based </w:t>
      </w:r>
      <w:r w:rsidR="000B545E" w:rsidRPr="00120403">
        <w:rPr>
          <w:rFonts w:ascii="Times New Roman" w:hAnsi="Times New Roman" w:cs="Times New Roman"/>
          <w:color w:val="000000" w:themeColor="text1"/>
          <w:sz w:val="24"/>
          <w:szCs w:val="24"/>
          <w:lang w:val="en-GB"/>
        </w:rPr>
        <w:lastRenderedPageBreak/>
        <w:t>pellets had lower FCRs (Townsend et al., 2023). This is a pre-conference abstract – not commercial scale performance. There are further challenges of diseases, parasites and aggression (Townsend, 2024). The harvest and the processing require hygienic low stress handling, fast chilling and continuous cold chain. Salmon are starved, stunned, bled, gutted, chilled, and then filleted or packed (</w:t>
      </w:r>
      <w:r w:rsidR="001E39CC" w:rsidRPr="00120403">
        <w:rPr>
          <w:rFonts w:ascii="Times New Roman" w:hAnsi="Times New Roman" w:cs="Times New Roman"/>
          <w:color w:val="000000" w:themeColor="text1"/>
          <w:sz w:val="24"/>
          <w:szCs w:val="24"/>
          <w:lang w:val="en-GB"/>
        </w:rPr>
        <w:t>Afewerki et al. 2023, p.761</w:t>
      </w:r>
      <w:r w:rsidR="000B545E" w:rsidRPr="00120403">
        <w:rPr>
          <w:rFonts w:ascii="Times New Roman" w:hAnsi="Times New Roman" w:cs="Times New Roman"/>
          <w:color w:val="000000" w:themeColor="text1"/>
          <w:sz w:val="24"/>
          <w:szCs w:val="24"/>
          <w:lang w:val="en-GB"/>
        </w:rPr>
        <w:t>), while food safety relies on water quality control, and proper water handling and management of hygiene status in post-harvest (Carlino-Costa &amp; Belo, 2025). Prior to selection of the product format with the highest profitability profit, fillet yield, flesh quality, and shelf life and cooking should be considered for pricklebacks</w:t>
      </w:r>
      <w:r w:rsidRPr="00120403">
        <w:rPr>
          <w:rFonts w:ascii="Times New Roman" w:hAnsi="Times New Roman" w:cs="Times New Roman"/>
          <w:color w:val="000000" w:themeColor="text1"/>
          <w:sz w:val="24"/>
          <w:szCs w:val="24"/>
          <w:lang w:val="en-GB"/>
        </w:rPr>
        <w:t>.</w:t>
      </w:r>
    </w:p>
    <w:p w14:paraId="0D3DB176" w14:textId="77777777" w:rsidR="00644BBB" w:rsidRPr="00120403" w:rsidRDefault="00000000" w:rsidP="00BF79B5">
      <w:pPr>
        <w:pStyle w:val="Heading1"/>
        <w:pageBreakBefore/>
        <w:rPr>
          <w:rFonts w:cs="Times New Roman"/>
          <w:szCs w:val="24"/>
          <w:lang w:val="en-GB"/>
        </w:rPr>
      </w:pPr>
      <w:bookmarkStart w:id="1" w:name="_Toc244034903"/>
      <w:r w:rsidRPr="00120403">
        <w:rPr>
          <w:rFonts w:cs="Times New Roman"/>
          <w:szCs w:val="24"/>
          <w:lang w:val="en-GB"/>
        </w:rPr>
        <w:lastRenderedPageBreak/>
        <w:t>References</w:t>
      </w:r>
      <w:bookmarkEnd w:id="1"/>
    </w:p>
    <w:p w14:paraId="4FB882A2" w14:textId="77777777" w:rsidR="00525A66" w:rsidRPr="00120403" w:rsidRDefault="00525A66">
      <w:pPr>
        <w:spacing w:line="360" w:lineRule="auto"/>
        <w:jc w:val="both"/>
        <w:rPr>
          <w:rFonts w:ascii="Times New Roman" w:hAnsi="Times New Roman" w:cs="Times New Roman"/>
          <w:color w:val="000000" w:themeColor="text1"/>
          <w:sz w:val="24"/>
          <w:szCs w:val="24"/>
          <w:lang w:val="en-GB"/>
        </w:rPr>
      </w:pPr>
      <w:r w:rsidRPr="00120403">
        <w:rPr>
          <w:rFonts w:ascii="Times New Roman" w:hAnsi="Times New Roman" w:cs="Times New Roman"/>
          <w:color w:val="000000" w:themeColor="text1"/>
          <w:sz w:val="24"/>
          <w:szCs w:val="24"/>
          <w:lang w:val="en-GB"/>
        </w:rPr>
        <w:t xml:space="preserve">Afewerki, S., Asche, F., Misund, B., Thorvaldsen, T. and </w:t>
      </w:r>
      <w:proofErr w:type="spellStart"/>
      <w:r w:rsidRPr="00120403">
        <w:rPr>
          <w:rFonts w:ascii="Times New Roman" w:hAnsi="Times New Roman" w:cs="Times New Roman"/>
          <w:color w:val="000000" w:themeColor="text1"/>
          <w:sz w:val="24"/>
          <w:szCs w:val="24"/>
          <w:lang w:val="en-GB"/>
        </w:rPr>
        <w:t>Tveteras</w:t>
      </w:r>
      <w:proofErr w:type="spellEnd"/>
      <w:r w:rsidRPr="00120403">
        <w:rPr>
          <w:rFonts w:ascii="Times New Roman" w:hAnsi="Times New Roman" w:cs="Times New Roman"/>
          <w:color w:val="000000" w:themeColor="text1"/>
          <w:sz w:val="24"/>
          <w:szCs w:val="24"/>
          <w:lang w:val="en-GB"/>
        </w:rPr>
        <w:t xml:space="preserve">, R., 2023. Innovation in the Norwegian aquaculture industry. </w:t>
      </w:r>
      <w:r w:rsidRPr="00120403">
        <w:rPr>
          <w:rFonts w:ascii="Times New Roman" w:hAnsi="Times New Roman" w:cs="Times New Roman"/>
          <w:i/>
          <w:iCs/>
          <w:color w:val="000000" w:themeColor="text1"/>
          <w:sz w:val="24"/>
          <w:szCs w:val="24"/>
          <w:lang w:val="en-GB"/>
        </w:rPr>
        <w:t>Reviews in Aquaculture</w:t>
      </w:r>
      <w:r w:rsidRPr="00120403">
        <w:rPr>
          <w:rFonts w:ascii="Times New Roman" w:hAnsi="Times New Roman" w:cs="Times New Roman"/>
          <w:color w:val="000000" w:themeColor="text1"/>
          <w:sz w:val="24"/>
          <w:szCs w:val="24"/>
          <w:lang w:val="en-GB"/>
        </w:rPr>
        <w:t xml:space="preserve">, </w:t>
      </w:r>
      <w:r w:rsidRPr="00120403">
        <w:rPr>
          <w:rFonts w:ascii="Times New Roman" w:hAnsi="Times New Roman" w:cs="Times New Roman"/>
          <w:i/>
          <w:iCs/>
          <w:color w:val="000000" w:themeColor="text1"/>
          <w:sz w:val="24"/>
          <w:szCs w:val="24"/>
          <w:lang w:val="en-GB"/>
        </w:rPr>
        <w:t>15</w:t>
      </w:r>
      <w:r w:rsidRPr="00120403">
        <w:rPr>
          <w:rFonts w:ascii="Times New Roman" w:hAnsi="Times New Roman" w:cs="Times New Roman"/>
          <w:color w:val="000000" w:themeColor="text1"/>
          <w:sz w:val="24"/>
          <w:szCs w:val="24"/>
          <w:lang w:val="en-GB"/>
        </w:rPr>
        <w:t xml:space="preserve">(2), pp.759-771. </w:t>
      </w:r>
      <w:hyperlink r:id="rId8" w:history="1">
        <w:r w:rsidRPr="00120403">
          <w:rPr>
            <w:rStyle w:val="Hyperlink"/>
            <w:rFonts w:ascii="Times New Roman" w:hAnsi="Times New Roman" w:cs="Times New Roman"/>
            <w:color w:val="000000" w:themeColor="text1"/>
            <w:sz w:val="24"/>
            <w:szCs w:val="24"/>
            <w:lang w:val="en-GB"/>
          </w:rPr>
          <w:t>https://onlinelibrary.wiley.com/doi/abs/10.1111/raq.12755</w:t>
        </w:r>
      </w:hyperlink>
      <w:r w:rsidRPr="00120403">
        <w:rPr>
          <w:rFonts w:ascii="Times New Roman" w:hAnsi="Times New Roman" w:cs="Times New Roman"/>
          <w:color w:val="000000" w:themeColor="text1"/>
          <w:sz w:val="24"/>
          <w:szCs w:val="24"/>
          <w:lang w:val="en-GB"/>
        </w:rPr>
        <w:t xml:space="preserve"> </w:t>
      </w:r>
    </w:p>
    <w:p w14:paraId="472DD621" w14:textId="77777777" w:rsidR="00525A66" w:rsidRPr="00120403" w:rsidRDefault="00525A66">
      <w:pPr>
        <w:spacing w:line="360" w:lineRule="auto"/>
        <w:jc w:val="both"/>
        <w:rPr>
          <w:rFonts w:ascii="Times New Roman" w:hAnsi="Times New Roman" w:cs="Times New Roman"/>
          <w:color w:val="000000" w:themeColor="text1"/>
          <w:sz w:val="24"/>
          <w:szCs w:val="24"/>
          <w:lang w:val="en-GB"/>
        </w:rPr>
      </w:pPr>
      <w:r w:rsidRPr="00120403">
        <w:rPr>
          <w:rFonts w:ascii="Times New Roman" w:hAnsi="Times New Roman" w:cs="Times New Roman"/>
          <w:color w:val="000000" w:themeColor="text1"/>
          <w:sz w:val="24"/>
          <w:szCs w:val="24"/>
          <w:lang w:val="en-GB"/>
        </w:rPr>
        <w:t xml:space="preserve">California Sea Grant (2026). Development of techniques for the cultivation of monkeyface pricklebacks as a sustainable alternative to unagi. Available at: </w:t>
      </w:r>
      <w:hyperlink r:id="rId9" w:history="1">
        <w:r w:rsidRPr="00120403">
          <w:rPr>
            <w:rStyle w:val="Hyperlink"/>
            <w:rFonts w:ascii="Times New Roman" w:hAnsi="Times New Roman" w:cs="Times New Roman"/>
            <w:color w:val="000000" w:themeColor="text1"/>
            <w:sz w:val="24"/>
            <w:szCs w:val="24"/>
            <w:lang w:val="en-GB"/>
          </w:rPr>
          <w:t>https://caseagrant.ucsd.edu/our-work/research-projects/development-techniques-cultivation-monkeyface-pricklebacks-sustainable</w:t>
        </w:r>
      </w:hyperlink>
      <w:r w:rsidRPr="00120403">
        <w:rPr>
          <w:rFonts w:ascii="Times New Roman" w:hAnsi="Times New Roman" w:cs="Times New Roman"/>
          <w:color w:val="000000" w:themeColor="text1"/>
          <w:sz w:val="24"/>
          <w:szCs w:val="24"/>
          <w:lang w:val="en-GB"/>
        </w:rPr>
        <w:t xml:space="preserve"> (Accessed: 29 October 2026).</w:t>
      </w:r>
    </w:p>
    <w:p w14:paraId="447C8D20" w14:textId="77777777" w:rsidR="00525A66" w:rsidRPr="00120403" w:rsidRDefault="00525A66" w:rsidP="00BF79B5">
      <w:pPr>
        <w:spacing w:line="360" w:lineRule="auto"/>
        <w:jc w:val="both"/>
        <w:rPr>
          <w:rFonts w:ascii="Times New Roman" w:hAnsi="Times New Roman" w:cs="Times New Roman"/>
          <w:color w:val="000000" w:themeColor="text1"/>
          <w:sz w:val="24"/>
          <w:szCs w:val="24"/>
          <w:lang w:val="en-GB"/>
        </w:rPr>
      </w:pPr>
      <w:r w:rsidRPr="00120403">
        <w:rPr>
          <w:rFonts w:ascii="Times New Roman" w:hAnsi="Times New Roman" w:cs="Times New Roman"/>
          <w:color w:val="000000" w:themeColor="text1"/>
          <w:sz w:val="24"/>
          <w:szCs w:val="24"/>
          <w:lang w:val="en-GB"/>
        </w:rPr>
        <w:t>Carlino-Costa, C. and Belo, M.A.D.A., 2025. Ensuring fish safety through sustainable aquaculture practices. Hygiene, 5(4), p.51. </w:t>
      </w:r>
    </w:p>
    <w:p w14:paraId="793ED5FE" w14:textId="77777777" w:rsidR="00525A66" w:rsidRPr="00120403" w:rsidRDefault="00525A66" w:rsidP="00BF79B5">
      <w:pPr>
        <w:spacing w:line="360" w:lineRule="auto"/>
        <w:jc w:val="both"/>
        <w:rPr>
          <w:rFonts w:ascii="Times New Roman" w:hAnsi="Times New Roman" w:cs="Times New Roman"/>
          <w:color w:val="000000" w:themeColor="text1"/>
          <w:sz w:val="24"/>
          <w:szCs w:val="24"/>
          <w:lang w:val="en-GB"/>
        </w:rPr>
      </w:pPr>
      <w:proofErr w:type="spellStart"/>
      <w:r w:rsidRPr="00120403">
        <w:rPr>
          <w:rFonts w:ascii="Times New Roman" w:hAnsi="Times New Roman" w:cs="Times New Roman"/>
          <w:color w:val="000000" w:themeColor="text1"/>
          <w:sz w:val="24"/>
          <w:szCs w:val="24"/>
          <w:lang w:val="en-GB"/>
        </w:rPr>
        <w:t>Hinterman</w:t>
      </w:r>
      <w:proofErr w:type="spellEnd"/>
      <w:r w:rsidRPr="00120403">
        <w:rPr>
          <w:rFonts w:ascii="Times New Roman" w:hAnsi="Times New Roman" w:cs="Times New Roman"/>
          <w:color w:val="000000" w:themeColor="text1"/>
          <w:sz w:val="24"/>
          <w:szCs w:val="24"/>
          <w:lang w:val="en-GB"/>
        </w:rPr>
        <w:t xml:space="preserve">, K.D., Hoehn, M.R., Gardner, L.D. and Hamilton, S.L., 2026. Reproduction and embryonic development of monkeyface prickleback </w:t>
      </w:r>
      <w:proofErr w:type="spellStart"/>
      <w:r w:rsidRPr="00120403">
        <w:rPr>
          <w:rFonts w:ascii="Times New Roman" w:hAnsi="Times New Roman" w:cs="Times New Roman"/>
          <w:color w:val="000000" w:themeColor="text1"/>
          <w:sz w:val="24"/>
          <w:szCs w:val="24"/>
          <w:lang w:val="en-GB"/>
        </w:rPr>
        <w:t>Cebidichthys</w:t>
      </w:r>
      <w:proofErr w:type="spellEnd"/>
      <w:r w:rsidRPr="00120403">
        <w:rPr>
          <w:rFonts w:ascii="Times New Roman" w:hAnsi="Times New Roman" w:cs="Times New Roman"/>
          <w:color w:val="000000" w:themeColor="text1"/>
          <w:sz w:val="24"/>
          <w:szCs w:val="24"/>
          <w:lang w:val="en-GB"/>
        </w:rPr>
        <w:t xml:space="preserve"> violaceus in captivity. Journal of Fish Biology, 108(2), pp.543-551.</w:t>
      </w:r>
    </w:p>
    <w:p w14:paraId="30407ED7" w14:textId="77777777" w:rsidR="00525A66" w:rsidRPr="00120403" w:rsidRDefault="00525A66">
      <w:pPr>
        <w:spacing w:line="360" w:lineRule="auto"/>
        <w:jc w:val="both"/>
        <w:rPr>
          <w:rFonts w:ascii="Times New Roman" w:hAnsi="Times New Roman" w:cs="Times New Roman"/>
          <w:color w:val="000000" w:themeColor="text1"/>
          <w:sz w:val="24"/>
          <w:szCs w:val="24"/>
          <w:lang w:val="en-GB"/>
        </w:rPr>
      </w:pPr>
      <w:r w:rsidRPr="00120403">
        <w:rPr>
          <w:rFonts w:ascii="Times New Roman" w:hAnsi="Times New Roman" w:cs="Times New Roman"/>
          <w:color w:val="000000" w:themeColor="text1"/>
          <w:sz w:val="24"/>
          <w:szCs w:val="24"/>
          <w:lang w:val="en-GB"/>
        </w:rPr>
        <w:t>Townsend, L.C., 2024. Determining best diet and temperature regime of monkeyface pricklebacks (</w:t>
      </w:r>
      <w:proofErr w:type="spellStart"/>
      <w:r w:rsidRPr="00120403">
        <w:rPr>
          <w:rFonts w:ascii="Times New Roman" w:hAnsi="Times New Roman" w:cs="Times New Roman"/>
          <w:color w:val="000000" w:themeColor="text1"/>
          <w:sz w:val="24"/>
          <w:szCs w:val="24"/>
          <w:lang w:val="en-GB"/>
        </w:rPr>
        <w:t>Cebidichthys</w:t>
      </w:r>
      <w:proofErr w:type="spellEnd"/>
      <w:r w:rsidRPr="00120403">
        <w:rPr>
          <w:rFonts w:ascii="Times New Roman" w:hAnsi="Times New Roman" w:cs="Times New Roman"/>
          <w:color w:val="000000" w:themeColor="text1"/>
          <w:sz w:val="24"/>
          <w:szCs w:val="24"/>
          <w:lang w:val="en-GB"/>
        </w:rPr>
        <w:t xml:space="preserve"> violaceus) for aquaculture. MSc thesis, San José State University. Available at: </w:t>
      </w:r>
      <w:hyperlink r:id="rId10" w:history="1">
        <w:r w:rsidRPr="00120403">
          <w:rPr>
            <w:rStyle w:val="Hyperlink"/>
            <w:rFonts w:ascii="Times New Roman" w:hAnsi="Times New Roman" w:cs="Times New Roman"/>
            <w:color w:val="000000" w:themeColor="text1"/>
            <w:sz w:val="24"/>
            <w:szCs w:val="24"/>
            <w:lang w:val="en-GB"/>
          </w:rPr>
          <w:t>https://scholarworks.sjsu.edu/etd_theses/5611</w:t>
        </w:r>
      </w:hyperlink>
      <w:r w:rsidRPr="00120403">
        <w:rPr>
          <w:rFonts w:ascii="Times New Roman" w:hAnsi="Times New Roman" w:cs="Times New Roman"/>
          <w:color w:val="000000" w:themeColor="text1"/>
          <w:sz w:val="24"/>
          <w:szCs w:val="24"/>
          <w:lang w:val="en-GB"/>
        </w:rPr>
        <w:t xml:space="preserve"> (Accessed: 29 October 2026).</w:t>
      </w:r>
    </w:p>
    <w:p w14:paraId="354EC7FC" w14:textId="77777777" w:rsidR="00525A66" w:rsidRPr="00120403" w:rsidRDefault="00525A66" w:rsidP="00BF79B5">
      <w:pPr>
        <w:spacing w:line="360" w:lineRule="auto"/>
        <w:jc w:val="both"/>
        <w:rPr>
          <w:rFonts w:ascii="Times New Roman" w:hAnsi="Times New Roman" w:cs="Times New Roman"/>
          <w:color w:val="000000" w:themeColor="text1"/>
          <w:sz w:val="24"/>
          <w:szCs w:val="24"/>
          <w:lang w:val="en-GB"/>
        </w:rPr>
      </w:pPr>
      <w:r w:rsidRPr="00120403">
        <w:rPr>
          <w:rFonts w:ascii="Times New Roman" w:hAnsi="Times New Roman" w:cs="Times New Roman"/>
          <w:color w:val="000000" w:themeColor="text1"/>
          <w:sz w:val="24"/>
          <w:szCs w:val="24"/>
          <w:lang w:val="en-GB"/>
        </w:rPr>
        <w:t xml:space="preserve">Udayakumar, R., Kadirov, I., </w:t>
      </w:r>
      <w:proofErr w:type="spellStart"/>
      <w:r w:rsidRPr="00120403">
        <w:rPr>
          <w:rFonts w:ascii="Times New Roman" w:hAnsi="Times New Roman" w:cs="Times New Roman"/>
          <w:color w:val="000000" w:themeColor="text1"/>
          <w:sz w:val="24"/>
          <w:szCs w:val="24"/>
          <w:lang w:val="en-GB"/>
        </w:rPr>
        <w:t>Radjabova</w:t>
      </w:r>
      <w:proofErr w:type="spellEnd"/>
      <w:r w:rsidRPr="00120403">
        <w:rPr>
          <w:rFonts w:ascii="Times New Roman" w:hAnsi="Times New Roman" w:cs="Times New Roman"/>
          <w:color w:val="000000" w:themeColor="text1"/>
          <w:sz w:val="24"/>
          <w:szCs w:val="24"/>
          <w:lang w:val="en-GB"/>
        </w:rPr>
        <w:t xml:space="preserve">, D., Fallah, M.H., Tursunov, M. and </w:t>
      </w:r>
      <w:proofErr w:type="spellStart"/>
      <w:r w:rsidRPr="00120403">
        <w:rPr>
          <w:rFonts w:ascii="Times New Roman" w:hAnsi="Times New Roman" w:cs="Times New Roman"/>
          <w:color w:val="000000" w:themeColor="text1"/>
          <w:sz w:val="24"/>
          <w:szCs w:val="24"/>
          <w:lang w:val="en-GB"/>
        </w:rPr>
        <w:t>Masalieva</w:t>
      </w:r>
      <w:proofErr w:type="spellEnd"/>
      <w:r w:rsidRPr="00120403">
        <w:rPr>
          <w:rFonts w:ascii="Times New Roman" w:hAnsi="Times New Roman" w:cs="Times New Roman"/>
          <w:color w:val="000000" w:themeColor="text1"/>
          <w:sz w:val="24"/>
          <w:szCs w:val="24"/>
          <w:lang w:val="en-GB"/>
        </w:rPr>
        <w:t>, O., 2025. A system dynamics model for water quality management in recirculating aquaculture systems (RAS). Natural and Engineering Sciences, 10(2), pp.434-446. </w:t>
      </w:r>
    </w:p>
    <w:p w14:paraId="7D21A92B" w14:textId="77777777" w:rsidR="00525A66" w:rsidRPr="00120403" w:rsidRDefault="00525A66">
      <w:pPr>
        <w:spacing w:line="360" w:lineRule="auto"/>
        <w:jc w:val="both"/>
        <w:rPr>
          <w:rFonts w:ascii="Times New Roman" w:hAnsi="Times New Roman" w:cs="Times New Roman"/>
          <w:color w:val="000000" w:themeColor="text1"/>
          <w:sz w:val="24"/>
          <w:szCs w:val="24"/>
          <w:lang w:val="en-GB"/>
        </w:rPr>
      </w:pPr>
      <w:proofErr w:type="spellStart"/>
      <w:r w:rsidRPr="00120403">
        <w:rPr>
          <w:rFonts w:ascii="Times New Roman" w:hAnsi="Times New Roman" w:cs="Times New Roman"/>
          <w:color w:val="000000" w:themeColor="text1"/>
          <w:sz w:val="24"/>
          <w:szCs w:val="24"/>
          <w:lang w:val="en-GB"/>
        </w:rPr>
        <w:t>Wyban</w:t>
      </w:r>
      <w:proofErr w:type="spellEnd"/>
      <w:r w:rsidRPr="00120403">
        <w:rPr>
          <w:rFonts w:ascii="Times New Roman" w:hAnsi="Times New Roman" w:cs="Times New Roman"/>
          <w:color w:val="000000" w:themeColor="text1"/>
          <w:sz w:val="24"/>
          <w:szCs w:val="24"/>
          <w:lang w:val="en-GB"/>
        </w:rPr>
        <w:t xml:space="preserve">, J., 2019. Selective breeding of Penaeus </w:t>
      </w:r>
      <w:proofErr w:type="spellStart"/>
      <w:r w:rsidRPr="00120403">
        <w:rPr>
          <w:rFonts w:ascii="Times New Roman" w:hAnsi="Times New Roman" w:cs="Times New Roman"/>
          <w:color w:val="000000" w:themeColor="text1"/>
          <w:sz w:val="24"/>
          <w:szCs w:val="24"/>
          <w:lang w:val="en-GB"/>
        </w:rPr>
        <w:t>vannamei</w:t>
      </w:r>
      <w:proofErr w:type="spellEnd"/>
      <w:r w:rsidRPr="00120403">
        <w:rPr>
          <w:rFonts w:ascii="Times New Roman" w:hAnsi="Times New Roman" w:cs="Times New Roman"/>
          <w:color w:val="000000" w:themeColor="text1"/>
          <w:sz w:val="24"/>
          <w:szCs w:val="24"/>
          <w:lang w:val="en-GB"/>
        </w:rPr>
        <w:t>: impact on world aquaculture and lessons for the future. Journal of Coastal Research, Special Issue 86, pp.1–5.</w:t>
      </w:r>
    </w:p>
    <w:p w14:paraId="0178CE8C" w14:textId="77777777" w:rsidR="00921388" w:rsidRPr="00120403" w:rsidRDefault="00921388" w:rsidP="00BF79B5">
      <w:pPr>
        <w:spacing w:after="120" w:line="360" w:lineRule="auto"/>
        <w:ind w:left="360" w:hanging="360"/>
        <w:rPr>
          <w:rFonts w:ascii="Times New Roman" w:hAnsi="Times New Roman" w:cs="Times New Roman"/>
          <w:color w:val="000000" w:themeColor="text1"/>
          <w:sz w:val="24"/>
          <w:szCs w:val="24"/>
          <w:lang w:val="en-GB"/>
        </w:rPr>
      </w:pPr>
    </w:p>
    <w:sectPr w:rsidR="00921388" w:rsidRPr="00120403" w:rsidSect="00C5122F">
      <w:footerReference w:type="default" r:id="rId11"/>
      <w:pgSz w:w="12240" w:h="15840"/>
      <w:pgMar w:top="1152" w:right="1440" w:bottom="1152"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CA7E4C" w14:textId="77777777" w:rsidR="00DC5D0B" w:rsidRDefault="00DC5D0B">
      <w:pPr>
        <w:spacing w:after="0" w:line="240" w:lineRule="auto"/>
      </w:pPr>
      <w:r>
        <w:separator/>
      </w:r>
    </w:p>
  </w:endnote>
  <w:endnote w:type="continuationSeparator" w:id="0">
    <w:p w14:paraId="703A5B48" w14:textId="77777777" w:rsidR="00DC5D0B" w:rsidRDefault="00DC5D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5360543"/>
      <w:docPartObj>
        <w:docPartGallery w:val="Page Numbers (Bottom of Page)"/>
        <w:docPartUnique/>
      </w:docPartObj>
    </w:sdtPr>
    <w:sdtEndPr>
      <w:rPr>
        <w:rFonts w:ascii="Times New Roman" w:hAnsi="Times New Roman" w:cs="Times New Roman"/>
        <w:noProof/>
        <w:sz w:val="20"/>
        <w:szCs w:val="20"/>
      </w:rPr>
    </w:sdtEndPr>
    <w:sdtContent>
      <w:p w14:paraId="3BE7E25C" w14:textId="77777777" w:rsidR="00C5122F" w:rsidRPr="00C5122F" w:rsidRDefault="00C5122F">
        <w:pPr>
          <w:pStyle w:val="Footer"/>
          <w:jc w:val="right"/>
          <w:rPr>
            <w:rFonts w:ascii="Times New Roman" w:hAnsi="Times New Roman" w:cs="Times New Roman"/>
            <w:sz w:val="20"/>
            <w:szCs w:val="20"/>
          </w:rPr>
        </w:pPr>
        <w:r w:rsidRPr="00C5122F">
          <w:rPr>
            <w:rFonts w:ascii="Times New Roman" w:hAnsi="Times New Roman" w:cs="Times New Roman"/>
            <w:sz w:val="20"/>
            <w:szCs w:val="20"/>
          </w:rPr>
          <w:fldChar w:fldCharType="begin"/>
        </w:r>
        <w:r w:rsidRPr="00C5122F">
          <w:rPr>
            <w:rFonts w:ascii="Times New Roman" w:hAnsi="Times New Roman" w:cs="Times New Roman"/>
            <w:sz w:val="20"/>
            <w:szCs w:val="20"/>
          </w:rPr>
          <w:instrText xml:space="preserve"> PAGE   \* MERGEFORMAT </w:instrText>
        </w:r>
        <w:r w:rsidRPr="00C5122F">
          <w:rPr>
            <w:rFonts w:ascii="Times New Roman" w:hAnsi="Times New Roman" w:cs="Times New Roman"/>
            <w:sz w:val="20"/>
            <w:szCs w:val="20"/>
          </w:rPr>
          <w:fldChar w:fldCharType="separate"/>
        </w:r>
        <w:r w:rsidRPr="00C5122F">
          <w:rPr>
            <w:rFonts w:ascii="Times New Roman" w:hAnsi="Times New Roman" w:cs="Times New Roman"/>
            <w:noProof/>
            <w:sz w:val="20"/>
            <w:szCs w:val="20"/>
          </w:rPr>
          <w:t>2</w:t>
        </w:r>
        <w:r w:rsidRPr="00C5122F">
          <w:rPr>
            <w:rFonts w:ascii="Times New Roman" w:hAnsi="Times New Roman" w:cs="Times New Roman"/>
            <w:noProof/>
            <w:sz w:val="20"/>
            <w:szCs w:val="20"/>
          </w:rPr>
          <w:fldChar w:fldCharType="end"/>
        </w:r>
      </w:p>
    </w:sdtContent>
  </w:sdt>
  <w:p w14:paraId="49E3B398" w14:textId="77777777" w:rsidR="00644BBB" w:rsidRDefault="00644BBB">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80EC95" w14:textId="77777777" w:rsidR="00DC5D0B" w:rsidRDefault="00DC5D0B">
      <w:pPr>
        <w:spacing w:after="0" w:line="240" w:lineRule="auto"/>
      </w:pPr>
      <w:r>
        <w:separator/>
      </w:r>
    </w:p>
  </w:footnote>
  <w:footnote w:type="continuationSeparator" w:id="0">
    <w:p w14:paraId="0264D48E" w14:textId="77777777" w:rsidR="00DC5D0B" w:rsidRDefault="00DC5D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15710057">
    <w:abstractNumId w:val="8"/>
  </w:num>
  <w:num w:numId="2" w16cid:durableId="1659966766">
    <w:abstractNumId w:val="6"/>
  </w:num>
  <w:num w:numId="3" w16cid:durableId="467942550">
    <w:abstractNumId w:val="5"/>
  </w:num>
  <w:num w:numId="4" w16cid:durableId="331377416">
    <w:abstractNumId w:val="4"/>
  </w:num>
  <w:num w:numId="5" w16cid:durableId="1457718017">
    <w:abstractNumId w:val="7"/>
  </w:num>
  <w:num w:numId="6" w16cid:durableId="960110047">
    <w:abstractNumId w:val="3"/>
  </w:num>
  <w:num w:numId="7" w16cid:durableId="426268427">
    <w:abstractNumId w:val="2"/>
  </w:num>
  <w:num w:numId="8" w16cid:durableId="1429694653">
    <w:abstractNumId w:val="1"/>
  </w:num>
  <w:num w:numId="9" w16cid:durableId="15559665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5326"/>
    <w:rsid w:val="000A7403"/>
    <w:rsid w:val="000B545E"/>
    <w:rsid w:val="000C59BA"/>
    <w:rsid w:val="000E07F7"/>
    <w:rsid w:val="000F601A"/>
    <w:rsid w:val="001177DD"/>
    <w:rsid w:val="00120403"/>
    <w:rsid w:val="0015074B"/>
    <w:rsid w:val="001C5BBB"/>
    <w:rsid w:val="001E39CC"/>
    <w:rsid w:val="00284504"/>
    <w:rsid w:val="00290C93"/>
    <w:rsid w:val="0029639D"/>
    <w:rsid w:val="002B05EA"/>
    <w:rsid w:val="002C2D6E"/>
    <w:rsid w:val="00303940"/>
    <w:rsid w:val="00310F48"/>
    <w:rsid w:val="00325DF7"/>
    <w:rsid w:val="00326F90"/>
    <w:rsid w:val="00336C16"/>
    <w:rsid w:val="00336D8A"/>
    <w:rsid w:val="00352094"/>
    <w:rsid w:val="0037487E"/>
    <w:rsid w:val="00374BE7"/>
    <w:rsid w:val="00374F9F"/>
    <w:rsid w:val="003B7A95"/>
    <w:rsid w:val="00431A7C"/>
    <w:rsid w:val="004334FB"/>
    <w:rsid w:val="00445CBF"/>
    <w:rsid w:val="00460409"/>
    <w:rsid w:val="00467F96"/>
    <w:rsid w:val="00470BA8"/>
    <w:rsid w:val="004A3228"/>
    <w:rsid w:val="004C26FA"/>
    <w:rsid w:val="004E7691"/>
    <w:rsid w:val="004F4AC9"/>
    <w:rsid w:val="00525A66"/>
    <w:rsid w:val="00541086"/>
    <w:rsid w:val="00542457"/>
    <w:rsid w:val="00562AD1"/>
    <w:rsid w:val="005D67EF"/>
    <w:rsid w:val="00604E42"/>
    <w:rsid w:val="00615AC8"/>
    <w:rsid w:val="00617F0F"/>
    <w:rsid w:val="006350D7"/>
    <w:rsid w:val="00644BBB"/>
    <w:rsid w:val="00645113"/>
    <w:rsid w:val="006747C0"/>
    <w:rsid w:val="0069538D"/>
    <w:rsid w:val="006A1715"/>
    <w:rsid w:val="00726E42"/>
    <w:rsid w:val="007408D0"/>
    <w:rsid w:val="007524D2"/>
    <w:rsid w:val="007711C1"/>
    <w:rsid w:val="00792FE5"/>
    <w:rsid w:val="00793C35"/>
    <w:rsid w:val="007B4452"/>
    <w:rsid w:val="007C295C"/>
    <w:rsid w:val="007E36B7"/>
    <w:rsid w:val="00843CEB"/>
    <w:rsid w:val="008472CF"/>
    <w:rsid w:val="00873861"/>
    <w:rsid w:val="0087586E"/>
    <w:rsid w:val="008A5139"/>
    <w:rsid w:val="00917B3B"/>
    <w:rsid w:val="00921388"/>
    <w:rsid w:val="009663B2"/>
    <w:rsid w:val="009B5459"/>
    <w:rsid w:val="00A44522"/>
    <w:rsid w:val="00AA1D8D"/>
    <w:rsid w:val="00AA65CD"/>
    <w:rsid w:val="00B07D3D"/>
    <w:rsid w:val="00B225BB"/>
    <w:rsid w:val="00B3121F"/>
    <w:rsid w:val="00B35CF9"/>
    <w:rsid w:val="00B376D9"/>
    <w:rsid w:val="00B47730"/>
    <w:rsid w:val="00B760CF"/>
    <w:rsid w:val="00BF79B5"/>
    <w:rsid w:val="00C210E4"/>
    <w:rsid w:val="00C5122F"/>
    <w:rsid w:val="00C617B1"/>
    <w:rsid w:val="00C8404E"/>
    <w:rsid w:val="00CA3C98"/>
    <w:rsid w:val="00CB0664"/>
    <w:rsid w:val="00CD3819"/>
    <w:rsid w:val="00CD52B7"/>
    <w:rsid w:val="00CD6EF4"/>
    <w:rsid w:val="00D01987"/>
    <w:rsid w:val="00D3702E"/>
    <w:rsid w:val="00D4411F"/>
    <w:rsid w:val="00D45A46"/>
    <w:rsid w:val="00D62E0C"/>
    <w:rsid w:val="00D77D90"/>
    <w:rsid w:val="00D82C65"/>
    <w:rsid w:val="00DC5D0B"/>
    <w:rsid w:val="00DE2BB1"/>
    <w:rsid w:val="00E179CB"/>
    <w:rsid w:val="00E63CF0"/>
    <w:rsid w:val="00E64943"/>
    <w:rsid w:val="00E72E17"/>
    <w:rsid w:val="00EA6715"/>
    <w:rsid w:val="00EC3026"/>
    <w:rsid w:val="00F1219C"/>
    <w:rsid w:val="00F345F8"/>
    <w:rsid w:val="00F83DCE"/>
    <w:rsid w:val="00F8585E"/>
    <w:rsid w:val="00FC4F75"/>
    <w:rsid w:val="00FC693F"/>
    <w:rsid w:val="00FD27D5"/>
    <w:rsid w:val="00FE238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3B40DF"/>
  <w14:defaultImageDpi w14:val="300"/>
  <w15:docId w15:val="{DB0E28DF-C20A-4CF5-BCCF-17B4F5D122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pPr>
    <w:rPr>
      <w:rFonts w:ascii="Arial" w:hAnsi="Arial"/>
    </w:rPr>
  </w:style>
  <w:style w:type="paragraph" w:styleId="Heading1">
    <w:name w:val="heading 1"/>
    <w:basedOn w:val="Normal"/>
    <w:next w:val="Normal"/>
    <w:link w:val="Heading1Char"/>
    <w:uiPriority w:val="9"/>
    <w:qFormat/>
    <w:rsid w:val="005D67EF"/>
    <w:pPr>
      <w:keepNext/>
      <w:keepLines/>
      <w:spacing w:before="480" w:after="0" w:line="360" w:lineRule="auto"/>
      <w:jc w:val="both"/>
      <w:outlineLvl w:val="0"/>
    </w:pPr>
    <w:rPr>
      <w:rFonts w:ascii="Times New Roman" w:eastAsiaTheme="majorEastAsia" w:hAnsi="Times New Roman" w:cstheme="majorBidi"/>
      <w:b/>
      <w:bCs/>
      <w:color w:val="000000" w:themeColor="text1"/>
      <w:sz w:val="24"/>
      <w:szCs w:val="28"/>
    </w:rPr>
  </w:style>
  <w:style w:type="paragraph" w:styleId="Heading2">
    <w:name w:val="heading 2"/>
    <w:basedOn w:val="Normal"/>
    <w:next w:val="Normal"/>
    <w:link w:val="Heading2Char"/>
    <w:uiPriority w:val="9"/>
    <w:unhideWhenUsed/>
    <w:qFormat/>
    <w:rsid w:val="007408D0"/>
    <w:pPr>
      <w:keepNext/>
      <w:keepLines/>
      <w:spacing w:before="200" w:after="0" w:line="360" w:lineRule="auto"/>
      <w:jc w:val="both"/>
      <w:outlineLvl w:val="1"/>
    </w:pPr>
    <w:rPr>
      <w:rFonts w:ascii="Times New Roman" w:eastAsiaTheme="majorEastAsia" w:hAnsi="Times New Roman" w:cs="Times New Roman"/>
      <w:b/>
      <w:bCs/>
      <w:color w:val="000000" w:themeColor="text1"/>
      <w:sz w:val="24"/>
      <w:szCs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5D67EF"/>
    <w:rPr>
      <w:rFonts w:ascii="Times New Roman" w:eastAsiaTheme="majorEastAsia" w:hAnsi="Times New Roman" w:cstheme="majorBidi"/>
      <w:b/>
      <w:bCs/>
      <w:color w:val="000000" w:themeColor="text1"/>
      <w:sz w:val="24"/>
      <w:szCs w:val="28"/>
    </w:rPr>
  </w:style>
  <w:style w:type="character" w:customStyle="1" w:styleId="Heading2Char">
    <w:name w:val="Heading 2 Char"/>
    <w:basedOn w:val="DefaultParagraphFont"/>
    <w:link w:val="Heading2"/>
    <w:uiPriority w:val="9"/>
    <w:rsid w:val="007408D0"/>
    <w:rPr>
      <w:rFonts w:ascii="Times New Roman" w:eastAsiaTheme="majorEastAsia" w:hAnsi="Times New Roman" w:cs="Times New Roman"/>
      <w:b/>
      <w:bCs/>
      <w:color w:val="000000" w:themeColor="text1"/>
      <w:sz w:val="24"/>
      <w:szCs w:val="24"/>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8A5139"/>
    <w:rPr>
      <w:color w:val="0000FF" w:themeColor="hyperlink"/>
      <w:u w:val="single"/>
    </w:rPr>
  </w:style>
  <w:style w:type="character" w:styleId="UnresolvedMention">
    <w:name w:val="Unresolved Mention"/>
    <w:basedOn w:val="DefaultParagraphFont"/>
    <w:uiPriority w:val="99"/>
    <w:semiHidden/>
    <w:unhideWhenUsed/>
    <w:rsid w:val="008A5139"/>
    <w:rPr>
      <w:color w:val="605E5C"/>
      <w:shd w:val="clear" w:color="auto" w:fill="E1DFDD"/>
    </w:rPr>
  </w:style>
  <w:style w:type="paragraph" w:styleId="TOC1">
    <w:name w:val="toc 1"/>
    <w:basedOn w:val="Normal"/>
    <w:next w:val="Normal"/>
    <w:autoRedefine/>
    <w:uiPriority w:val="39"/>
    <w:unhideWhenUsed/>
    <w:rsid w:val="00C5122F"/>
    <w:pPr>
      <w:spacing w:after="100"/>
    </w:pPr>
  </w:style>
  <w:style w:type="paragraph" w:styleId="TOC2">
    <w:name w:val="toc 2"/>
    <w:basedOn w:val="Normal"/>
    <w:next w:val="Normal"/>
    <w:autoRedefine/>
    <w:uiPriority w:val="39"/>
    <w:unhideWhenUsed/>
    <w:rsid w:val="00C5122F"/>
    <w:pPr>
      <w:spacing w:after="100"/>
      <w:ind w:left="220"/>
    </w:pPr>
  </w:style>
  <w:style w:type="table" w:customStyle="1" w:styleId="TableGrid1">
    <w:name w:val="Table Grid1"/>
    <w:basedOn w:val="TableNormal"/>
    <w:next w:val="TableGrid"/>
    <w:uiPriority w:val="39"/>
    <w:rsid w:val="00D82C65"/>
    <w:pPr>
      <w:spacing w:after="0" w:line="240" w:lineRule="auto"/>
    </w:pPr>
    <w:rPr>
      <w:rFonts w:ascii="Aptos" w:eastAsia="Aptos" w:hAnsi="Aptos" w:cs="Times New Roman"/>
      <w:kern w:val="2"/>
      <w:sz w:val="24"/>
      <w:szCs w:val="24"/>
      <w:lang w:val="en-GB"/>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D82C6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onlinelibrary.wiley.com/doi/abs/10.1111/raq.12755"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scholarworks.sjsu.edu/etd_theses/5611" TargetMode="External"/><Relationship Id="rId4" Type="http://schemas.openxmlformats.org/officeDocument/2006/relationships/settings" Target="settings.xml"/><Relationship Id="rId9" Type="http://schemas.openxmlformats.org/officeDocument/2006/relationships/hyperlink" Target="https://caseagrant.ucsd.edu/our-work/research-projects/development-techniques-cultivation-monkeyface-pricklebacks-sustainab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822</Words>
  <Characters>4687</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generated by python-docx</dc:description>
  <cp:lastModifiedBy>USER</cp:lastModifiedBy>
  <cp:revision>2</cp:revision>
  <dcterms:created xsi:type="dcterms:W3CDTF">2026-10-29T11:50:00Z</dcterms:created>
  <dcterms:modified xsi:type="dcterms:W3CDTF">2026-10-29T11:50:00Z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7c5ca954401c0009363bf116c78810e24ba0cc293cc8ce5aa09749c83eb8d3d3</vt:lpwstr>
  </property>
</Properties>
</file>