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85C87" w14:textId="77777777" w:rsidR="00843CEB" w:rsidRPr="000B5A82" w:rsidRDefault="00000000">
      <w:pPr>
        <w:pStyle w:val="Heading2"/>
        <w:rPr>
          <w:lang w:val="en-GB"/>
        </w:rPr>
      </w:pPr>
      <w:bookmarkStart w:id="0" w:name="_Toc244034901"/>
      <w:r w:rsidRPr="000B5A82">
        <w:rPr>
          <w:lang w:val="en-GB"/>
        </w:rPr>
        <w:t>Key factor 3: Technical, environmental and financial feasibility</w:t>
      </w:r>
      <w:bookmarkEnd w:id="0"/>
    </w:p>
    <w:p w14:paraId="72826408" w14:textId="77777777" w:rsidR="00843CEB" w:rsidRPr="000B5A82" w:rsidRDefault="00000000">
      <w:pPr>
        <w:spacing w:line="360" w:lineRule="auto"/>
        <w:jc w:val="both"/>
        <w:rPr>
          <w:rFonts w:ascii="Times New Roman" w:hAnsi="Times New Roman" w:cs="Times New Roman"/>
          <w:color w:val="000000" w:themeColor="text1"/>
          <w:sz w:val="24"/>
          <w:szCs w:val="24"/>
          <w:lang w:val="en-GB"/>
        </w:rPr>
      </w:pPr>
      <w:r w:rsidRPr="000B5A82">
        <w:rPr>
          <w:rFonts w:ascii="Times New Roman" w:hAnsi="Times New Roman" w:cs="Times New Roman"/>
          <w:color w:val="000000" w:themeColor="text1"/>
          <w:sz w:val="24"/>
          <w:szCs w:val="24"/>
          <w:lang w:val="en-GB"/>
        </w:rPr>
        <w:t>Feasibility should be judged on pilot data rather than assumptions. There are encouraging signs of captive reproduction as well as alternative-feed trials, but this species is not yet a commercial aquaculture item.</w:t>
      </w:r>
    </w:p>
    <w:p w14:paraId="693DADB1" w14:textId="310DF622" w:rsidR="000B545E" w:rsidRPr="000B5A82" w:rsidRDefault="000B545E" w:rsidP="000B545E">
      <w:pPr>
        <w:spacing w:line="360" w:lineRule="auto"/>
        <w:jc w:val="both"/>
        <w:rPr>
          <w:rFonts w:ascii="Times New Roman" w:hAnsi="Times New Roman" w:cs="Times New Roman"/>
          <w:color w:val="000000" w:themeColor="text1"/>
          <w:sz w:val="24"/>
          <w:szCs w:val="24"/>
          <w:lang w:val="en-GB"/>
        </w:rPr>
      </w:pPr>
      <w:r w:rsidRPr="000B5A82">
        <w:rPr>
          <w:rFonts w:ascii="Times New Roman" w:hAnsi="Times New Roman" w:cs="Times New Roman"/>
          <w:color w:val="000000" w:themeColor="text1"/>
          <w:sz w:val="24"/>
          <w:szCs w:val="24"/>
          <w:lang w:val="en-GB"/>
        </w:rPr>
        <w:t>Technical feasibility is both dependant on Juvenile supply and acceptable growth, survival and feeding efficiency. Captivity breeding and life after the early larval stage are not yet known to be repeatable (</w:t>
      </w:r>
      <w:proofErr w:type="spellStart"/>
      <w:r w:rsidRPr="000B5A82">
        <w:rPr>
          <w:rFonts w:ascii="Times New Roman" w:hAnsi="Times New Roman" w:cs="Times New Roman"/>
          <w:color w:val="000000" w:themeColor="text1"/>
          <w:sz w:val="24"/>
          <w:szCs w:val="24"/>
          <w:lang w:val="en-GB"/>
        </w:rPr>
        <w:t>Hinterman</w:t>
      </w:r>
      <w:proofErr w:type="spellEnd"/>
      <w:r w:rsidRPr="000B5A82">
        <w:rPr>
          <w:rFonts w:ascii="Times New Roman" w:hAnsi="Times New Roman" w:cs="Times New Roman"/>
          <w:color w:val="000000" w:themeColor="text1"/>
          <w:sz w:val="24"/>
          <w:szCs w:val="24"/>
          <w:lang w:val="en-GB"/>
        </w:rPr>
        <w:t xml:space="preserve"> et al., 2026). Shrimp can reach 20 g in less than 100 days (</w:t>
      </w:r>
      <w:proofErr w:type="spellStart"/>
      <w:r w:rsidRPr="000B5A82">
        <w:rPr>
          <w:rFonts w:ascii="Times New Roman" w:hAnsi="Times New Roman" w:cs="Times New Roman"/>
          <w:color w:val="000000" w:themeColor="text1"/>
          <w:sz w:val="24"/>
          <w:szCs w:val="24"/>
          <w:lang w:val="en-GB"/>
        </w:rPr>
        <w:t>Wyban</w:t>
      </w:r>
      <w:proofErr w:type="spellEnd"/>
      <w:r w:rsidRPr="000B5A82">
        <w:rPr>
          <w:rFonts w:ascii="Times New Roman" w:hAnsi="Times New Roman" w:cs="Times New Roman"/>
          <w:color w:val="000000" w:themeColor="text1"/>
          <w:sz w:val="24"/>
          <w:szCs w:val="24"/>
          <w:lang w:val="en-GB"/>
        </w:rPr>
        <w:t>, 2019, p.1) or salmon can reach 2 kg in 2 years (</w:t>
      </w:r>
      <w:r w:rsidR="001E39CC" w:rsidRPr="000B5A82">
        <w:rPr>
          <w:rFonts w:ascii="Times New Roman" w:hAnsi="Times New Roman" w:cs="Times New Roman"/>
          <w:color w:val="000000" w:themeColor="text1"/>
          <w:sz w:val="24"/>
          <w:szCs w:val="24"/>
          <w:lang w:val="en-GB"/>
        </w:rPr>
        <w:t>Afewerki et al. 2023, p.759</w:t>
      </w:r>
      <w:r w:rsidRPr="000B5A82">
        <w:rPr>
          <w:rFonts w:ascii="Times New Roman" w:hAnsi="Times New Roman" w:cs="Times New Roman"/>
          <w:color w:val="000000" w:themeColor="text1"/>
          <w:sz w:val="24"/>
          <w:szCs w:val="24"/>
          <w:lang w:val="en-GB"/>
        </w:rPr>
        <w:t>), but there is no time to market in the case of pricklebacks. Some alternative feeds are known to promote growth but the feed conversion and production costs for commercial scale have yet to be established (Townsend et al., 2023). The pilot phase should include a record of survival, density, health, growth, FCR, and time-to-harvest size which should be recorded before scaling up.</w:t>
      </w:r>
    </w:p>
    <w:p w14:paraId="522B587D" w14:textId="48B758FE" w:rsidR="00843CEB" w:rsidRPr="000B5A82" w:rsidRDefault="00000000">
      <w:pPr>
        <w:spacing w:line="360" w:lineRule="auto"/>
        <w:jc w:val="both"/>
        <w:rPr>
          <w:rFonts w:ascii="Times New Roman" w:hAnsi="Times New Roman" w:cs="Times New Roman"/>
          <w:color w:val="000000" w:themeColor="text1"/>
          <w:sz w:val="24"/>
          <w:szCs w:val="24"/>
          <w:lang w:val="en-GB"/>
        </w:rPr>
      </w:pPr>
      <w:r w:rsidRPr="000B5A82">
        <w:rPr>
          <w:rFonts w:ascii="Times New Roman" w:hAnsi="Times New Roman" w:cs="Times New Roman"/>
          <w:color w:val="000000" w:themeColor="text1"/>
          <w:sz w:val="24"/>
          <w:szCs w:val="24"/>
          <w:lang w:val="en-GB"/>
        </w:rPr>
        <w:t>Environmental feasibility should consider the production system as a whole. Energy and water consumption per kg of fish, FCR, fish mortality and nutrient discharge are all indicators of performance. Claims that pricklebacks are more sustainable than salmon or trout are valid only if both are assessed with the same system boundaries.</w:t>
      </w:r>
    </w:p>
    <w:p w14:paraId="63EE91D1" w14:textId="06450F3E" w:rsidR="00843CEB" w:rsidRPr="000B5A82" w:rsidRDefault="00000000">
      <w:pPr>
        <w:spacing w:line="360" w:lineRule="auto"/>
        <w:jc w:val="both"/>
        <w:rPr>
          <w:rFonts w:ascii="Times New Roman" w:hAnsi="Times New Roman" w:cs="Times New Roman"/>
          <w:color w:val="000000" w:themeColor="text1"/>
          <w:sz w:val="24"/>
          <w:szCs w:val="24"/>
          <w:lang w:val="en-GB"/>
        </w:rPr>
      </w:pPr>
      <w:r w:rsidRPr="000B5A82">
        <w:rPr>
          <w:rFonts w:ascii="Times New Roman" w:hAnsi="Times New Roman" w:cs="Times New Roman"/>
          <w:color w:val="000000" w:themeColor="text1"/>
          <w:sz w:val="24"/>
          <w:szCs w:val="24"/>
          <w:lang w:val="en-GB"/>
        </w:rPr>
        <w:t xml:space="preserve">The cost per kg of product that can be sold needs to be calculated to see if it is financially viable; it includes juveniles and feed costs as well as labour, electricity, water treatment, mortality, health testing, harvesting, processing, packaging, transport and depreciation. </w:t>
      </w:r>
      <w:r w:rsidR="000B545E" w:rsidRPr="000B5A82">
        <w:rPr>
          <w:rFonts w:ascii="Times New Roman" w:hAnsi="Times New Roman" w:cs="Times New Roman"/>
          <w:color w:val="000000" w:themeColor="text1"/>
          <w:sz w:val="24"/>
          <w:szCs w:val="24"/>
          <w:lang w:val="en-GB"/>
        </w:rPr>
        <w:t xml:space="preserve">There was no data available for production costs for pricklebacks. Fish price and feed price have the highest impacts on profitability in RAS economics (Zhao, Zhang and Ding, 2026) and price is uncertain: Japanese wholesale prices for domestic eel dropped from ¥5,307/kg in April 2025 to ¥2,983/kg in April 2026 (News </w:t>
      </w:r>
      <w:r w:rsidR="001E39CC" w:rsidRPr="000B5A82">
        <w:rPr>
          <w:rFonts w:ascii="Times New Roman" w:hAnsi="Times New Roman" w:cs="Times New Roman"/>
          <w:color w:val="000000" w:themeColor="text1"/>
          <w:sz w:val="24"/>
          <w:szCs w:val="24"/>
          <w:lang w:val="en-GB"/>
        </w:rPr>
        <w:t>on</w:t>
      </w:r>
      <w:r w:rsidR="000B545E" w:rsidRPr="000B5A82">
        <w:rPr>
          <w:rFonts w:ascii="Times New Roman" w:hAnsi="Times New Roman" w:cs="Times New Roman"/>
          <w:color w:val="000000" w:themeColor="text1"/>
          <w:sz w:val="24"/>
          <w:szCs w:val="24"/>
          <w:lang w:val="en-GB"/>
        </w:rPr>
        <w:t xml:space="preserve"> Japan, 2026), so the pricing above the unagi price should not be assumed. The US population consumed 20.8 lb of seafood per person in 2022 and an estimated 75-90% of this was imported (USDA Economic Research Service, 2026), meaning that there is likely to be unmet domestic demand for seafood products—although not for pricklebacks</w:t>
      </w:r>
      <w:r w:rsidRPr="000B5A82">
        <w:rPr>
          <w:rFonts w:ascii="Times New Roman" w:hAnsi="Times New Roman" w:cs="Times New Roman"/>
          <w:color w:val="000000" w:themeColor="text1"/>
          <w:sz w:val="24"/>
          <w:szCs w:val="24"/>
          <w:lang w:val="en-GB"/>
        </w:rPr>
        <w:t>.</w:t>
      </w:r>
    </w:p>
    <w:p w14:paraId="525CFA08" w14:textId="4FBC16A7" w:rsidR="00843CEB" w:rsidRPr="000B5A82" w:rsidRDefault="00000000">
      <w:pPr>
        <w:spacing w:line="360" w:lineRule="auto"/>
        <w:jc w:val="both"/>
        <w:rPr>
          <w:rFonts w:ascii="Times New Roman" w:hAnsi="Times New Roman" w:cs="Times New Roman"/>
          <w:color w:val="000000" w:themeColor="text1"/>
          <w:sz w:val="24"/>
          <w:szCs w:val="24"/>
          <w:lang w:val="en-GB"/>
        </w:rPr>
      </w:pPr>
      <w:r w:rsidRPr="000B5A82">
        <w:rPr>
          <w:rFonts w:ascii="Times New Roman" w:hAnsi="Times New Roman" w:cs="Times New Roman"/>
          <w:color w:val="000000" w:themeColor="text1"/>
          <w:sz w:val="24"/>
          <w:szCs w:val="24"/>
          <w:lang w:val="en-GB"/>
        </w:rPr>
        <w:t xml:space="preserve">Japanese restaurants, speciality fishmongers and seafood companies in Monterey, Santa Cruz and the San Francisco Bay Area are potential customers. Willingness to pay should be determined through chef tastings, expressions of interest from buyers and paid pilot orders. Electricity costs, mortality, feed conversion, production time and selling prices </w:t>
      </w:r>
      <w:r w:rsidR="000B545E" w:rsidRPr="000B5A82">
        <w:rPr>
          <w:rFonts w:ascii="Times New Roman" w:hAnsi="Times New Roman" w:cs="Times New Roman"/>
          <w:color w:val="000000" w:themeColor="text1"/>
          <w:sz w:val="24"/>
          <w:szCs w:val="24"/>
          <w:lang w:val="en-GB"/>
        </w:rPr>
        <w:t xml:space="preserve">should be </w:t>
      </w:r>
      <w:r w:rsidR="001E39CC" w:rsidRPr="000B5A82">
        <w:rPr>
          <w:rFonts w:ascii="Times New Roman" w:hAnsi="Times New Roman" w:cs="Times New Roman"/>
          <w:color w:val="000000" w:themeColor="text1"/>
          <w:sz w:val="24"/>
          <w:szCs w:val="24"/>
          <w:lang w:val="en-GB"/>
        </w:rPr>
        <w:t>analysed</w:t>
      </w:r>
      <w:r w:rsidR="000B545E" w:rsidRPr="000B5A82">
        <w:rPr>
          <w:rFonts w:ascii="Times New Roman" w:hAnsi="Times New Roman" w:cs="Times New Roman"/>
          <w:color w:val="000000" w:themeColor="text1"/>
          <w:sz w:val="24"/>
          <w:szCs w:val="24"/>
          <w:lang w:val="en-GB"/>
        </w:rPr>
        <w:t xml:space="preserve"> by carrying out </w:t>
      </w:r>
      <w:r w:rsidR="000B545E" w:rsidRPr="000B5A82">
        <w:rPr>
          <w:rFonts w:ascii="Times New Roman" w:hAnsi="Times New Roman" w:cs="Times New Roman"/>
          <w:color w:val="000000" w:themeColor="text1"/>
          <w:sz w:val="24"/>
          <w:szCs w:val="24"/>
          <w:lang w:val="en-GB"/>
        </w:rPr>
        <w:lastRenderedPageBreak/>
        <w:t>Sensitivity Test (Zhao, Zhang and Ding, 2026). Investment should be phased to grow in a manner that reproduces production and unit costs are acceptable and there is repeat customer demand</w:t>
      </w:r>
      <w:r w:rsidRPr="000B5A82">
        <w:rPr>
          <w:rFonts w:ascii="Times New Roman" w:hAnsi="Times New Roman" w:cs="Times New Roman"/>
          <w:color w:val="000000" w:themeColor="text1"/>
          <w:sz w:val="24"/>
          <w:szCs w:val="24"/>
          <w:lang w:val="en-GB"/>
        </w:rPr>
        <w:t>.</w:t>
      </w:r>
    </w:p>
    <w:p w14:paraId="53F0EF74" w14:textId="77777777" w:rsidR="00644BBB" w:rsidRPr="000B5A82" w:rsidRDefault="00000000" w:rsidP="00BF79B5">
      <w:pPr>
        <w:pStyle w:val="Heading1"/>
        <w:rPr>
          <w:rFonts w:cs="Times New Roman"/>
          <w:szCs w:val="24"/>
          <w:lang w:val="en-GB"/>
        </w:rPr>
      </w:pPr>
      <w:bookmarkStart w:id="1" w:name="_Toc244034902"/>
      <w:r w:rsidRPr="000B5A82">
        <w:rPr>
          <w:rFonts w:cs="Times New Roman"/>
          <w:szCs w:val="24"/>
          <w:lang w:val="en-GB"/>
        </w:rPr>
        <w:t>Conclusion</w:t>
      </w:r>
      <w:bookmarkEnd w:id="1"/>
    </w:p>
    <w:p w14:paraId="5D1F1A38" w14:textId="67C28BD5" w:rsidR="00843CEB" w:rsidRPr="000B5A82" w:rsidRDefault="000B545E">
      <w:pPr>
        <w:spacing w:line="360" w:lineRule="auto"/>
        <w:jc w:val="both"/>
        <w:rPr>
          <w:rFonts w:ascii="Times New Roman" w:hAnsi="Times New Roman" w:cs="Times New Roman"/>
          <w:color w:val="000000" w:themeColor="text1"/>
          <w:sz w:val="24"/>
          <w:szCs w:val="24"/>
          <w:lang w:val="en-GB"/>
        </w:rPr>
      </w:pPr>
      <w:r w:rsidRPr="000B5A82">
        <w:rPr>
          <w:rFonts w:ascii="Times New Roman" w:hAnsi="Times New Roman" w:cs="Times New Roman"/>
          <w:color w:val="000000" w:themeColor="text1"/>
          <w:sz w:val="24"/>
          <w:szCs w:val="24"/>
          <w:lang w:val="en-GB"/>
        </w:rPr>
        <w:t>There will be four interconnected elements that determine the success of Monterey Bay. First, regulatory compliance and public acceptance with a land-based pilot. Second, reliable hatchery production: Spawning of unagi have been documented under captive conditions and early raising of unagi larvae, but not so in respect of larval survival and repeatable spawning, and this has been the limiting step in unagi farming. Third, efficient feed and energy utilisation: Growth from plant-based pellets but unmeasured commercial FCR for feed, unmeasured energy demand for RAS. Third, a price premium actually proven, not presumed, as a result of chef-led eel tastings and paid pilot orders given both the fluctuating prices of eels. Expansion of investment should occur only if biological, environmental and financial results show they are repeatable and viable.</w:t>
      </w:r>
    </w:p>
    <w:p w14:paraId="0D3DB176" w14:textId="77777777" w:rsidR="00644BBB" w:rsidRPr="000B5A82" w:rsidRDefault="00000000" w:rsidP="00BF79B5">
      <w:pPr>
        <w:pStyle w:val="Heading1"/>
        <w:pageBreakBefore/>
        <w:rPr>
          <w:rFonts w:cs="Times New Roman"/>
          <w:szCs w:val="24"/>
          <w:lang w:val="en-GB"/>
        </w:rPr>
      </w:pPr>
      <w:bookmarkStart w:id="2" w:name="_Toc244034903"/>
      <w:r w:rsidRPr="000B5A82">
        <w:rPr>
          <w:rFonts w:cs="Times New Roman"/>
          <w:szCs w:val="24"/>
          <w:lang w:val="en-GB"/>
        </w:rPr>
        <w:lastRenderedPageBreak/>
        <w:t>References</w:t>
      </w:r>
      <w:bookmarkEnd w:id="2"/>
    </w:p>
    <w:p w14:paraId="4FB882A2" w14:textId="77777777" w:rsidR="00525A66" w:rsidRPr="000B5A82" w:rsidRDefault="00525A66">
      <w:pPr>
        <w:spacing w:line="360" w:lineRule="auto"/>
        <w:jc w:val="both"/>
        <w:rPr>
          <w:rFonts w:ascii="Times New Roman" w:hAnsi="Times New Roman" w:cs="Times New Roman"/>
          <w:color w:val="000000" w:themeColor="text1"/>
          <w:sz w:val="24"/>
          <w:szCs w:val="24"/>
          <w:lang w:val="en-GB"/>
        </w:rPr>
      </w:pPr>
      <w:r w:rsidRPr="000B5A82">
        <w:rPr>
          <w:rFonts w:ascii="Times New Roman" w:hAnsi="Times New Roman" w:cs="Times New Roman"/>
          <w:color w:val="000000" w:themeColor="text1"/>
          <w:sz w:val="24"/>
          <w:szCs w:val="24"/>
          <w:lang w:val="en-GB"/>
        </w:rPr>
        <w:t xml:space="preserve">Afewerki, S., Asche, F., Misund, B., Thorvaldsen, T. and </w:t>
      </w:r>
      <w:proofErr w:type="spellStart"/>
      <w:r w:rsidRPr="000B5A82">
        <w:rPr>
          <w:rFonts w:ascii="Times New Roman" w:hAnsi="Times New Roman" w:cs="Times New Roman"/>
          <w:color w:val="000000" w:themeColor="text1"/>
          <w:sz w:val="24"/>
          <w:szCs w:val="24"/>
          <w:lang w:val="en-GB"/>
        </w:rPr>
        <w:t>Tveteras</w:t>
      </w:r>
      <w:proofErr w:type="spellEnd"/>
      <w:r w:rsidRPr="000B5A82">
        <w:rPr>
          <w:rFonts w:ascii="Times New Roman" w:hAnsi="Times New Roman" w:cs="Times New Roman"/>
          <w:color w:val="000000" w:themeColor="text1"/>
          <w:sz w:val="24"/>
          <w:szCs w:val="24"/>
          <w:lang w:val="en-GB"/>
        </w:rPr>
        <w:t xml:space="preserve">, R., 2023. Innovation in the Norwegian aquaculture industry. </w:t>
      </w:r>
      <w:r w:rsidRPr="000B5A82">
        <w:rPr>
          <w:rFonts w:ascii="Times New Roman" w:hAnsi="Times New Roman" w:cs="Times New Roman"/>
          <w:i/>
          <w:iCs/>
          <w:color w:val="000000" w:themeColor="text1"/>
          <w:sz w:val="24"/>
          <w:szCs w:val="24"/>
          <w:lang w:val="en-GB"/>
        </w:rPr>
        <w:t>Reviews in Aquaculture</w:t>
      </w:r>
      <w:r w:rsidRPr="000B5A82">
        <w:rPr>
          <w:rFonts w:ascii="Times New Roman" w:hAnsi="Times New Roman" w:cs="Times New Roman"/>
          <w:color w:val="000000" w:themeColor="text1"/>
          <w:sz w:val="24"/>
          <w:szCs w:val="24"/>
          <w:lang w:val="en-GB"/>
        </w:rPr>
        <w:t xml:space="preserve">, </w:t>
      </w:r>
      <w:r w:rsidRPr="000B5A82">
        <w:rPr>
          <w:rFonts w:ascii="Times New Roman" w:hAnsi="Times New Roman" w:cs="Times New Roman"/>
          <w:i/>
          <w:iCs/>
          <w:color w:val="000000" w:themeColor="text1"/>
          <w:sz w:val="24"/>
          <w:szCs w:val="24"/>
          <w:lang w:val="en-GB"/>
        </w:rPr>
        <w:t>15</w:t>
      </w:r>
      <w:r w:rsidRPr="000B5A82">
        <w:rPr>
          <w:rFonts w:ascii="Times New Roman" w:hAnsi="Times New Roman" w:cs="Times New Roman"/>
          <w:color w:val="000000" w:themeColor="text1"/>
          <w:sz w:val="24"/>
          <w:szCs w:val="24"/>
          <w:lang w:val="en-GB"/>
        </w:rPr>
        <w:t xml:space="preserve">(2), pp.759-771. </w:t>
      </w:r>
      <w:hyperlink r:id="rId8" w:history="1">
        <w:r w:rsidRPr="000B5A82">
          <w:rPr>
            <w:rStyle w:val="Hyperlink"/>
            <w:rFonts w:ascii="Times New Roman" w:hAnsi="Times New Roman" w:cs="Times New Roman"/>
            <w:color w:val="000000" w:themeColor="text1"/>
            <w:sz w:val="24"/>
            <w:szCs w:val="24"/>
            <w:lang w:val="en-GB"/>
          </w:rPr>
          <w:t>https://onlinelibrary.wiley.com/doi/abs/10.1111/raq.12755</w:t>
        </w:r>
      </w:hyperlink>
      <w:r w:rsidRPr="000B5A82">
        <w:rPr>
          <w:rFonts w:ascii="Times New Roman" w:hAnsi="Times New Roman" w:cs="Times New Roman"/>
          <w:color w:val="000000" w:themeColor="text1"/>
          <w:sz w:val="24"/>
          <w:szCs w:val="24"/>
          <w:lang w:val="en-GB"/>
        </w:rPr>
        <w:t xml:space="preserve"> </w:t>
      </w:r>
    </w:p>
    <w:p w14:paraId="793ED5FE" w14:textId="77777777" w:rsidR="00525A66" w:rsidRPr="000B5A82" w:rsidRDefault="00525A66" w:rsidP="00BF79B5">
      <w:pPr>
        <w:spacing w:line="360" w:lineRule="auto"/>
        <w:jc w:val="both"/>
        <w:rPr>
          <w:rFonts w:ascii="Times New Roman" w:hAnsi="Times New Roman" w:cs="Times New Roman"/>
          <w:color w:val="000000" w:themeColor="text1"/>
          <w:sz w:val="24"/>
          <w:szCs w:val="24"/>
          <w:lang w:val="en-GB"/>
        </w:rPr>
      </w:pPr>
      <w:proofErr w:type="spellStart"/>
      <w:r w:rsidRPr="000B5A82">
        <w:rPr>
          <w:rFonts w:ascii="Times New Roman" w:hAnsi="Times New Roman" w:cs="Times New Roman"/>
          <w:color w:val="000000" w:themeColor="text1"/>
          <w:sz w:val="24"/>
          <w:szCs w:val="24"/>
          <w:lang w:val="en-GB"/>
        </w:rPr>
        <w:t>Hinterman</w:t>
      </w:r>
      <w:proofErr w:type="spellEnd"/>
      <w:r w:rsidRPr="000B5A82">
        <w:rPr>
          <w:rFonts w:ascii="Times New Roman" w:hAnsi="Times New Roman" w:cs="Times New Roman"/>
          <w:color w:val="000000" w:themeColor="text1"/>
          <w:sz w:val="24"/>
          <w:szCs w:val="24"/>
          <w:lang w:val="en-GB"/>
        </w:rPr>
        <w:t xml:space="preserve">, K.D., Hoehn, M.R., Gardner, L.D. and Hamilton, S.L., 2026. Reproduction and embryonic development of monkeyface prickleback </w:t>
      </w:r>
      <w:proofErr w:type="spellStart"/>
      <w:r w:rsidRPr="000B5A82">
        <w:rPr>
          <w:rFonts w:ascii="Times New Roman" w:hAnsi="Times New Roman" w:cs="Times New Roman"/>
          <w:color w:val="000000" w:themeColor="text1"/>
          <w:sz w:val="24"/>
          <w:szCs w:val="24"/>
          <w:lang w:val="en-GB"/>
        </w:rPr>
        <w:t>Cebidichthys</w:t>
      </w:r>
      <w:proofErr w:type="spellEnd"/>
      <w:r w:rsidRPr="000B5A82">
        <w:rPr>
          <w:rFonts w:ascii="Times New Roman" w:hAnsi="Times New Roman" w:cs="Times New Roman"/>
          <w:color w:val="000000" w:themeColor="text1"/>
          <w:sz w:val="24"/>
          <w:szCs w:val="24"/>
          <w:lang w:val="en-GB"/>
        </w:rPr>
        <w:t xml:space="preserve"> violaceus in captivity. Journal of Fish Biology, 108(2), pp.543-551.</w:t>
      </w:r>
    </w:p>
    <w:p w14:paraId="132355BE" w14:textId="77777777" w:rsidR="00525A66" w:rsidRPr="000B5A82" w:rsidRDefault="00525A66">
      <w:pPr>
        <w:spacing w:line="360" w:lineRule="auto"/>
        <w:jc w:val="both"/>
        <w:rPr>
          <w:rFonts w:ascii="Times New Roman" w:hAnsi="Times New Roman" w:cs="Times New Roman"/>
          <w:color w:val="000000" w:themeColor="text1"/>
          <w:sz w:val="24"/>
          <w:szCs w:val="24"/>
          <w:lang w:val="en-GB"/>
        </w:rPr>
      </w:pPr>
      <w:r w:rsidRPr="000B5A82">
        <w:rPr>
          <w:rFonts w:ascii="Times New Roman" w:hAnsi="Times New Roman" w:cs="Times New Roman"/>
          <w:color w:val="000000" w:themeColor="text1"/>
          <w:sz w:val="24"/>
          <w:szCs w:val="24"/>
          <w:lang w:val="en-GB"/>
        </w:rPr>
        <w:t xml:space="preserve">News On Japan, 2026. World’s first fully farmed eels to go on sale in Japan. Available at: </w:t>
      </w:r>
      <w:hyperlink r:id="rId9" w:history="1">
        <w:r w:rsidRPr="000B5A82">
          <w:rPr>
            <w:rStyle w:val="Hyperlink"/>
            <w:rFonts w:ascii="Times New Roman" w:hAnsi="Times New Roman" w:cs="Times New Roman"/>
            <w:color w:val="000000" w:themeColor="text1"/>
            <w:sz w:val="24"/>
            <w:szCs w:val="24"/>
            <w:lang w:val="en-GB"/>
          </w:rPr>
          <w:t>https://newsonjapan.com/article/149412.php</w:t>
        </w:r>
      </w:hyperlink>
      <w:r w:rsidRPr="000B5A82">
        <w:rPr>
          <w:rFonts w:ascii="Times New Roman" w:hAnsi="Times New Roman" w:cs="Times New Roman"/>
          <w:color w:val="000000" w:themeColor="text1"/>
          <w:sz w:val="24"/>
          <w:szCs w:val="24"/>
          <w:lang w:val="en-GB"/>
        </w:rPr>
        <w:t xml:space="preserve"> (Accessed: 29 October 2026).</w:t>
      </w:r>
    </w:p>
    <w:p w14:paraId="1BD407EB" w14:textId="77777777" w:rsidR="00525A66" w:rsidRPr="000B5A82" w:rsidRDefault="00525A66">
      <w:pPr>
        <w:spacing w:line="360" w:lineRule="auto"/>
        <w:jc w:val="both"/>
        <w:rPr>
          <w:rFonts w:ascii="Times New Roman" w:hAnsi="Times New Roman" w:cs="Times New Roman"/>
          <w:color w:val="000000" w:themeColor="text1"/>
          <w:sz w:val="24"/>
          <w:szCs w:val="24"/>
          <w:lang w:val="en-GB"/>
        </w:rPr>
      </w:pPr>
      <w:r w:rsidRPr="000B5A82">
        <w:rPr>
          <w:rFonts w:ascii="Times New Roman" w:hAnsi="Times New Roman" w:cs="Times New Roman"/>
          <w:color w:val="000000" w:themeColor="text1"/>
          <w:sz w:val="24"/>
          <w:szCs w:val="24"/>
          <w:lang w:val="en-GB"/>
        </w:rPr>
        <w:t xml:space="preserve">Townsend, L., Hoehn, M., Hinterman, K., Gardner, L., Johnson, R., Graham, M. and Hamilton, S., 2023. Investigation of monkeyface prickleback </w:t>
      </w:r>
      <w:proofErr w:type="spellStart"/>
      <w:r w:rsidRPr="000B5A82">
        <w:rPr>
          <w:rFonts w:ascii="Times New Roman" w:hAnsi="Times New Roman" w:cs="Times New Roman"/>
          <w:color w:val="000000" w:themeColor="text1"/>
          <w:sz w:val="24"/>
          <w:szCs w:val="24"/>
          <w:lang w:val="en-GB"/>
        </w:rPr>
        <w:t>Cebidichthys</w:t>
      </w:r>
      <w:proofErr w:type="spellEnd"/>
      <w:r w:rsidRPr="000B5A82">
        <w:rPr>
          <w:rFonts w:ascii="Times New Roman" w:hAnsi="Times New Roman" w:cs="Times New Roman"/>
          <w:color w:val="000000" w:themeColor="text1"/>
          <w:sz w:val="24"/>
          <w:szCs w:val="24"/>
          <w:lang w:val="en-GB"/>
        </w:rPr>
        <w:t xml:space="preserve"> violaceus for commercial finfish aquaculture with alternative feeds [conference abstract]. Aquaculture America 2023, New Orleans, 23–26 February. Available at: </w:t>
      </w:r>
      <w:hyperlink r:id="rId10" w:history="1">
        <w:r w:rsidRPr="000B5A82">
          <w:rPr>
            <w:rStyle w:val="Hyperlink"/>
            <w:rFonts w:ascii="Times New Roman" w:hAnsi="Times New Roman" w:cs="Times New Roman"/>
            <w:color w:val="000000" w:themeColor="text1"/>
            <w:sz w:val="24"/>
            <w:szCs w:val="24"/>
            <w:lang w:val="en-GB"/>
          </w:rPr>
          <w:t>https://www.was.org/Meeting/Program/PaperDetail/160691</w:t>
        </w:r>
      </w:hyperlink>
      <w:r w:rsidRPr="000B5A82">
        <w:rPr>
          <w:rFonts w:ascii="Times New Roman" w:hAnsi="Times New Roman" w:cs="Times New Roman"/>
          <w:color w:val="000000" w:themeColor="text1"/>
          <w:sz w:val="24"/>
          <w:szCs w:val="24"/>
          <w:lang w:val="en-GB"/>
        </w:rPr>
        <w:t xml:space="preserve"> (Accessed: 29 October 2026).</w:t>
      </w:r>
    </w:p>
    <w:p w14:paraId="2A5AEC22" w14:textId="77777777" w:rsidR="00525A66" w:rsidRPr="000B5A82" w:rsidRDefault="00525A66">
      <w:pPr>
        <w:spacing w:line="360" w:lineRule="auto"/>
        <w:jc w:val="both"/>
        <w:rPr>
          <w:rFonts w:ascii="Times New Roman" w:hAnsi="Times New Roman" w:cs="Times New Roman"/>
          <w:color w:val="000000" w:themeColor="text1"/>
          <w:sz w:val="24"/>
          <w:szCs w:val="24"/>
          <w:lang w:val="en-GB"/>
        </w:rPr>
      </w:pPr>
      <w:r w:rsidRPr="000B5A82">
        <w:rPr>
          <w:rFonts w:ascii="Times New Roman" w:hAnsi="Times New Roman" w:cs="Times New Roman"/>
          <w:color w:val="000000" w:themeColor="text1"/>
          <w:sz w:val="24"/>
          <w:szCs w:val="24"/>
          <w:lang w:val="en-GB"/>
        </w:rPr>
        <w:t xml:space="preserve">USDA Economic Research Service, 2026. Aquaculture. Available at: </w:t>
      </w:r>
      <w:hyperlink r:id="rId11" w:history="1">
        <w:r w:rsidRPr="000B5A82">
          <w:rPr>
            <w:rStyle w:val="Hyperlink"/>
            <w:rFonts w:ascii="Times New Roman" w:hAnsi="Times New Roman" w:cs="Times New Roman"/>
            <w:color w:val="000000" w:themeColor="text1"/>
            <w:sz w:val="24"/>
            <w:szCs w:val="24"/>
            <w:lang w:val="en-GB"/>
          </w:rPr>
          <w:t>https://www.ers.usda.gov/topics/animal-products/aquaculture</w:t>
        </w:r>
      </w:hyperlink>
      <w:r w:rsidRPr="000B5A82">
        <w:rPr>
          <w:rFonts w:ascii="Times New Roman" w:hAnsi="Times New Roman" w:cs="Times New Roman"/>
          <w:color w:val="000000" w:themeColor="text1"/>
          <w:sz w:val="24"/>
          <w:szCs w:val="24"/>
          <w:lang w:val="en-GB"/>
        </w:rPr>
        <w:t xml:space="preserve"> (Accessed: 27 October 2026).</w:t>
      </w:r>
    </w:p>
    <w:p w14:paraId="7D21A92B" w14:textId="77777777" w:rsidR="00525A66" w:rsidRPr="000B5A82" w:rsidRDefault="00525A66">
      <w:pPr>
        <w:spacing w:line="360" w:lineRule="auto"/>
        <w:jc w:val="both"/>
        <w:rPr>
          <w:rFonts w:ascii="Times New Roman" w:hAnsi="Times New Roman" w:cs="Times New Roman"/>
          <w:color w:val="000000" w:themeColor="text1"/>
          <w:sz w:val="24"/>
          <w:szCs w:val="24"/>
          <w:lang w:val="en-GB"/>
        </w:rPr>
      </w:pPr>
      <w:proofErr w:type="spellStart"/>
      <w:r w:rsidRPr="000B5A82">
        <w:rPr>
          <w:rFonts w:ascii="Times New Roman" w:hAnsi="Times New Roman" w:cs="Times New Roman"/>
          <w:color w:val="000000" w:themeColor="text1"/>
          <w:sz w:val="24"/>
          <w:szCs w:val="24"/>
          <w:lang w:val="en-GB"/>
        </w:rPr>
        <w:t>Wyban</w:t>
      </w:r>
      <w:proofErr w:type="spellEnd"/>
      <w:r w:rsidRPr="000B5A82">
        <w:rPr>
          <w:rFonts w:ascii="Times New Roman" w:hAnsi="Times New Roman" w:cs="Times New Roman"/>
          <w:color w:val="000000" w:themeColor="text1"/>
          <w:sz w:val="24"/>
          <w:szCs w:val="24"/>
          <w:lang w:val="en-GB"/>
        </w:rPr>
        <w:t xml:space="preserve">, J., 2019. Selective breeding of Penaeus </w:t>
      </w:r>
      <w:proofErr w:type="spellStart"/>
      <w:r w:rsidRPr="000B5A82">
        <w:rPr>
          <w:rFonts w:ascii="Times New Roman" w:hAnsi="Times New Roman" w:cs="Times New Roman"/>
          <w:color w:val="000000" w:themeColor="text1"/>
          <w:sz w:val="24"/>
          <w:szCs w:val="24"/>
          <w:lang w:val="en-GB"/>
        </w:rPr>
        <w:t>vannamei</w:t>
      </w:r>
      <w:proofErr w:type="spellEnd"/>
      <w:r w:rsidRPr="000B5A82">
        <w:rPr>
          <w:rFonts w:ascii="Times New Roman" w:hAnsi="Times New Roman" w:cs="Times New Roman"/>
          <w:color w:val="000000" w:themeColor="text1"/>
          <w:sz w:val="24"/>
          <w:szCs w:val="24"/>
          <w:lang w:val="en-GB"/>
        </w:rPr>
        <w:t>: impact on world aquaculture and lessons for the future. Journal of Coastal Research, Special Issue 86, pp.1–5.</w:t>
      </w:r>
    </w:p>
    <w:p w14:paraId="0F63C824" w14:textId="77777777" w:rsidR="00525A66" w:rsidRPr="000B5A82" w:rsidRDefault="00525A66">
      <w:pPr>
        <w:spacing w:line="360" w:lineRule="auto"/>
        <w:jc w:val="both"/>
        <w:rPr>
          <w:rFonts w:ascii="Times New Roman" w:hAnsi="Times New Roman" w:cs="Times New Roman"/>
          <w:color w:val="000000" w:themeColor="text1"/>
          <w:sz w:val="24"/>
          <w:szCs w:val="24"/>
          <w:lang w:val="en-GB"/>
        </w:rPr>
      </w:pPr>
      <w:r w:rsidRPr="000B5A82">
        <w:rPr>
          <w:rFonts w:ascii="Times New Roman" w:hAnsi="Times New Roman" w:cs="Times New Roman"/>
          <w:color w:val="000000" w:themeColor="text1"/>
          <w:sz w:val="24"/>
          <w:szCs w:val="24"/>
          <w:lang w:val="en-GB"/>
        </w:rPr>
        <w:t xml:space="preserve">Zhao, Z., Zhang, H. and Ding, Q., 2026. Economic feasibility analysis of recirculating aquaculture systems for turbot (Scophthalmus maximus) farming: a case study of Qingdao in China. Israeli Journal of Aquaculture – </w:t>
      </w:r>
      <w:proofErr w:type="spellStart"/>
      <w:r w:rsidRPr="000B5A82">
        <w:rPr>
          <w:rFonts w:ascii="Times New Roman" w:hAnsi="Times New Roman" w:cs="Times New Roman"/>
          <w:color w:val="000000" w:themeColor="text1"/>
          <w:sz w:val="24"/>
          <w:szCs w:val="24"/>
          <w:lang w:val="en-GB"/>
        </w:rPr>
        <w:t>Bamidgeh</w:t>
      </w:r>
      <w:proofErr w:type="spellEnd"/>
      <w:r w:rsidRPr="000B5A82">
        <w:rPr>
          <w:rFonts w:ascii="Times New Roman" w:hAnsi="Times New Roman" w:cs="Times New Roman"/>
          <w:color w:val="000000" w:themeColor="text1"/>
          <w:sz w:val="24"/>
          <w:szCs w:val="24"/>
          <w:lang w:val="en-GB"/>
        </w:rPr>
        <w:t>, 78(2). doi:10.46989/001c.160029.</w:t>
      </w:r>
    </w:p>
    <w:p w14:paraId="0178CE8C" w14:textId="77777777" w:rsidR="00921388" w:rsidRPr="000B5A82" w:rsidRDefault="00921388" w:rsidP="00BF79B5">
      <w:pPr>
        <w:spacing w:after="120" w:line="360" w:lineRule="auto"/>
        <w:ind w:left="360" w:hanging="360"/>
        <w:rPr>
          <w:rFonts w:ascii="Times New Roman" w:hAnsi="Times New Roman" w:cs="Times New Roman"/>
          <w:color w:val="000000" w:themeColor="text1"/>
          <w:sz w:val="24"/>
          <w:szCs w:val="24"/>
          <w:lang w:val="en-GB"/>
        </w:rPr>
      </w:pPr>
    </w:p>
    <w:sectPr w:rsidR="00921388" w:rsidRPr="000B5A82" w:rsidSect="00C5122F">
      <w:footerReference w:type="default" r:id="rId12"/>
      <w:pgSz w:w="12240" w:h="15840"/>
      <w:pgMar w:top="1152" w:right="1440" w:bottom="1152"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81579" w14:textId="77777777" w:rsidR="001278BF" w:rsidRDefault="001278BF">
      <w:pPr>
        <w:spacing w:after="0" w:line="240" w:lineRule="auto"/>
      </w:pPr>
      <w:r>
        <w:separator/>
      </w:r>
    </w:p>
  </w:endnote>
  <w:endnote w:type="continuationSeparator" w:id="0">
    <w:p w14:paraId="39B7FF3A" w14:textId="77777777" w:rsidR="001278BF" w:rsidRDefault="00127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5360543"/>
      <w:docPartObj>
        <w:docPartGallery w:val="Page Numbers (Bottom of Page)"/>
        <w:docPartUnique/>
      </w:docPartObj>
    </w:sdtPr>
    <w:sdtEndPr>
      <w:rPr>
        <w:rFonts w:ascii="Times New Roman" w:hAnsi="Times New Roman" w:cs="Times New Roman"/>
        <w:noProof/>
        <w:sz w:val="20"/>
        <w:szCs w:val="20"/>
      </w:rPr>
    </w:sdtEndPr>
    <w:sdtContent>
      <w:p w14:paraId="3BE7E25C" w14:textId="77777777" w:rsidR="00C5122F" w:rsidRPr="00C5122F" w:rsidRDefault="00C5122F">
        <w:pPr>
          <w:pStyle w:val="Footer"/>
          <w:jc w:val="right"/>
          <w:rPr>
            <w:rFonts w:ascii="Times New Roman" w:hAnsi="Times New Roman" w:cs="Times New Roman"/>
            <w:sz w:val="20"/>
            <w:szCs w:val="20"/>
          </w:rPr>
        </w:pPr>
        <w:r w:rsidRPr="00C5122F">
          <w:rPr>
            <w:rFonts w:ascii="Times New Roman" w:hAnsi="Times New Roman" w:cs="Times New Roman"/>
            <w:sz w:val="20"/>
            <w:szCs w:val="20"/>
          </w:rPr>
          <w:fldChar w:fldCharType="begin"/>
        </w:r>
        <w:r w:rsidRPr="00C5122F">
          <w:rPr>
            <w:rFonts w:ascii="Times New Roman" w:hAnsi="Times New Roman" w:cs="Times New Roman"/>
            <w:sz w:val="20"/>
            <w:szCs w:val="20"/>
          </w:rPr>
          <w:instrText xml:space="preserve"> PAGE   \* MERGEFORMAT </w:instrText>
        </w:r>
        <w:r w:rsidRPr="00C5122F">
          <w:rPr>
            <w:rFonts w:ascii="Times New Roman" w:hAnsi="Times New Roman" w:cs="Times New Roman"/>
            <w:sz w:val="20"/>
            <w:szCs w:val="20"/>
          </w:rPr>
          <w:fldChar w:fldCharType="separate"/>
        </w:r>
        <w:r w:rsidRPr="00C5122F">
          <w:rPr>
            <w:rFonts w:ascii="Times New Roman" w:hAnsi="Times New Roman" w:cs="Times New Roman"/>
            <w:noProof/>
            <w:sz w:val="20"/>
            <w:szCs w:val="20"/>
          </w:rPr>
          <w:t>2</w:t>
        </w:r>
        <w:r w:rsidRPr="00C5122F">
          <w:rPr>
            <w:rFonts w:ascii="Times New Roman" w:hAnsi="Times New Roman" w:cs="Times New Roman"/>
            <w:noProof/>
            <w:sz w:val="20"/>
            <w:szCs w:val="20"/>
          </w:rPr>
          <w:fldChar w:fldCharType="end"/>
        </w:r>
      </w:p>
    </w:sdtContent>
  </w:sdt>
  <w:p w14:paraId="49E3B398" w14:textId="77777777" w:rsidR="00644BBB" w:rsidRDefault="00644BB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E3909" w14:textId="77777777" w:rsidR="001278BF" w:rsidRDefault="001278BF">
      <w:pPr>
        <w:spacing w:after="0" w:line="240" w:lineRule="auto"/>
      </w:pPr>
      <w:r>
        <w:separator/>
      </w:r>
    </w:p>
  </w:footnote>
  <w:footnote w:type="continuationSeparator" w:id="0">
    <w:p w14:paraId="1D9FFE06" w14:textId="77777777" w:rsidR="001278BF" w:rsidRDefault="001278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710057">
    <w:abstractNumId w:val="8"/>
  </w:num>
  <w:num w:numId="2" w16cid:durableId="1659966766">
    <w:abstractNumId w:val="6"/>
  </w:num>
  <w:num w:numId="3" w16cid:durableId="467942550">
    <w:abstractNumId w:val="5"/>
  </w:num>
  <w:num w:numId="4" w16cid:durableId="331377416">
    <w:abstractNumId w:val="4"/>
  </w:num>
  <w:num w:numId="5" w16cid:durableId="1457718017">
    <w:abstractNumId w:val="7"/>
  </w:num>
  <w:num w:numId="6" w16cid:durableId="960110047">
    <w:abstractNumId w:val="3"/>
  </w:num>
  <w:num w:numId="7" w16cid:durableId="426268427">
    <w:abstractNumId w:val="2"/>
  </w:num>
  <w:num w:numId="8" w16cid:durableId="1429694653">
    <w:abstractNumId w:val="1"/>
  </w:num>
  <w:num w:numId="9" w16cid:durableId="1555966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326"/>
    <w:rsid w:val="000A7403"/>
    <w:rsid w:val="000B545E"/>
    <w:rsid w:val="000B5A82"/>
    <w:rsid w:val="000C59BA"/>
    <w:rsid w:val="000E07F7"/>
    <w:rsid w:val="000F601A"/>
    <w:rsid w:val="001177DD"/>
    <w:rsid w:val="001278BF"/>
    <w:rsid w:val="0015074B"/>
    <w:rsid w:val="001C5BBB"/>
    <w:rsid w:val="001E39CC"/>
    <w:rsid w:val="00284504"/>
    <w:rsid w:val="00290C93"/>
    <w:rsid w:val="0029639D"/>
    <w:rsid w:val="002B05EA"/>
    <w:rsid w:val="002C2D6E"/>
    <w:rsid w:val="00303940"/>
    <w:rsid w:val="00310F48"/>
    <w:rsid w:val="00325DF7"/>
    <w:rsid w:val="00326F90"/>
    <w:rsid w:val="00336C16"/>
    <w:rsid w:val="00336D8A"/>
    <w:rsid w:val="00352094"/>
    <w:rsid w:val="0037487E"/>
    <w:rsid w:val="00374BE7"/>
    <w:rsid w:val="00374F9F"/>
    <w:rsid w:val="003B7A95"/>
    <w:rsid w:val="00431A7C"/>
    <w:rsid w:val="004334FB"/>
    <w:rsid w:val="00445CBF"/>
    <w:rsid w:val="00460409"/>
    <w:rsid w:val="00467F96"/>
    <w:rsid w:val="00470BA8"/>
    <w:rsid w:val="004A3228"/>
    <w:rsid w:val="004C26FA"/>
    <w:rsid w:val="004E7691"/>
    <w:rsid w:val="004F4AC9"/>
    <w:rsid w:val="00525A66"/>
    <w:rsid w:val="00541086"/>
    <w:rsid w:val="00542457"/>
    <w:rsid w:val="00562AD1"/>
    <w:rsid w:val="005D67EF"/>
    <w:rsid w:val="00604E42"/>
    <w:rsid w:val="00615AC8"/>
    <w:rsid w:val="00617F0F"/>
    <w:rsid w:val="006350D7"/>
    <w:rsid w:val="00644BBB"/>
    <w:rsid w:val="00645113"/>
    <w:rsid w:val="006747C0"/>
    <w:rsid w:val="0069538D"/>
    <w:rsid w:val="006A1715"/>
    <w:rsid w:val="00726E42"/>
    <w:rsid w:val="007408D0"/>
    <w:rsid w:val="007524D2"/>
    <w:rsid w:val="007711C1"/>
    <w:rsid w:val="00792FE5"/>
    <w:rsid w:val="00793C35"/>
    <w:rsid w:val="007B4452"/>
    <w:rsid w:val="007C295C"/>
    <w:rsid w:val="007E36B7"/>
    <w:rsid w:val="00843CEB"/>
    <w:rsid w:val="008472CF"/>
    <w:rsid w:val="00873861"/>
    <w:rsid w:val="0087586E"/>
    <w:rsid w:val="008A5139"/>
    <w:rsid w:val="00917B3B"/>
    <w:rsid w:val="00921388"/>
    <w:rsid w:val="009663B2"/>
    <w:rsid w:val="009B5459"/>
    <w:rsid w:val="00A44522"/>
    <w:rsid w:val="00AA1D8D"/>
    <w:rsid w:val="00AA65CD"/>
    <w:rsid w:val="00B07D3D"/>
    <w:rsid w:val="00B225BB"/>
    <w:rsid w:val="00B3121F"/>
    <w:rsid w:val="00B35CF9"/>
    <w:rsid w:val="00B376D9"/>
    <w:rsid w:val="00B47730"/>
    <w:rsid w:val="00B760CF"/>
    <w:rsid w:val="00BF79B5"/>
    <w:rsid w:val="00C210E4"/>
    <w:rsid w:val="00C5122F"/>
    <w:rsid w:val="00C617B1"/>
    <w:rsid w:val="00C8404E"/>
    <w:rsid w:val="00CA3C98"/>
    <w:rsid w:val="00CB0664"/>
    <w:rsid w:val="00CD3819"/>
    <w:rsid w:val="00CD52B7"/>
    <w:rsid w:val="00CD6EF4"/>
    <w:rsid w:val="00D01987"/>
    <w:rsid w:val="00D3702E"/>
    <w:rsid w:val="00D4411F"/>
    <w:rsid w:val="00D45A46"/>
    <w:rsid w:val="00D62E0C"/>
    <w:rsid w:val="00D77D90"/>
    <w:rsid w:val="00D82C65"/>
    <w:rsid w:val="00DE2BB1"/>
    <w:rsid w:val="00E179CB"/>
    <w:rsid w:val="00E63CF0"/>
    <w:rsid w:val="00E64943"/>
    <w:rsid w:val="00E72E17"/>
    <w:rsid w:val="00EA6715"/>
    <w:rsid w:val="00EC3026"/>
    <w:rsid w:val="00F1219C"/>
    <w:rsid w:val="00F345F8"/>
    <w:rsid w:val="00F83DCE"/>
    <w:rsid w:val="00F8585E"/>
    <w:rsid w:val="00FC4F75"/>
    <w:rsid w:val="00FC693F"/>
    <w:rsid w:val="00FD27D5"/>
    <w:rsid w:val="00FE23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B40DF"/>
  <w14:defaultImageDpi w14:val="300"/>
  <w15:docId w15:val="{DB0E28DF-C20A-4CF5-BCCF-17B4F5D12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Heading1">
    <w:name w:val="heading 1"/>
    <w:basedOn w:val="Normal"/>
    <w:next w:val="Normal"/>
    <w:link w:val="Heading1Char"/>
    <w:uiPriority w:val="9"/>
    <w:qFormat/>
    <w:rsid w:val="005D67EF"/>
    <w:pPr>
      <w:keepNext/>
      <w:keepLines/>
      <w:spacing w:before="480" w:after="0" w:line="360" w:lineRule="auto"/>
      <w:jc w:val="both"/>
      <w:outlineLvl w:val="0"/>
    </w:pPr>
    <w:rPr>
      <w:rFonts w:ascii="Times New Roman" w:eastAsiaTheme="majorEastAsia" w:hAnsi="Times New Roman" w:cstheme="majorBidi"/>
      <w:b/>
      <w:bCs/>
      <w:color w:val="000000" w:themeColor="text1"/>
      <w:sz w:val="24"/>
      <w:szCs w:val="28"/>
    </w:rPr>
  </w:style>
  <w:style w:type="paragraph" w:styleId="Heading2">
    <w:name w:val="heading 2"/>
    <w:basedOn w:val="Normal"/>
    <w:next w:val="Normal"/>
    <w:link w:val="Heading2Char"/>
    <w:uiPriority w:val="9"/>
    <w:unhideWhenUsed/>
    <w:qFormat/>
    <w:rsid w:val="007408D0"/>
    <w:pPr>
      <w:keepNext/>
      <w:keepLines/>
      <w:spacing w:before="200" w:after="0" w:line="360" w:lineRule="auto"/>
      <w:jc w:val="both"/>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D67EF"/>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7408D0"/>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5139"/>
    <w:rPr>
      <w:color w:val="0000FF" w:themeColor="hyperlink"/>
      <w:u w:val="single"/>
    </w:rPr>
  </w:style>
  <w:style w:type="character" w:styleId="UnresolvedMention">
    <w:name w:val="Unresolved Mention"/>
    <w:basedOn w:val="DefaultParagraphFont"/>
    <w:uiPriority w:val="99"/>
    <w:semiHidden/>
    <w:unhideWhenUsed/>
    <w:rsid w:val="008A5139"/>
    <w:rPr>
      <w:color w:val="605E5C"/>
      <w:shd w:val="clear" w:color="auto" w:fill="E1DFDD"/>
    </w:rPr>
  </w:style>
  <w:style w:type="paragraph" w:styleId="TOC1">
    <w:name w:val="toc 1"/>
    <w:basedOn w:val="Normal"/>
    <w:next w:val="Normal"/>
    <w:autoRedefine/>
    <w:uiPriority w:val="39"/>
    <w:unhideWhenUsed/>
    <w:rsid w:val="00C5122F"/>
    <w:pPr>
      <w:spacing w:after="100"/>
    </w:pPr>
  </w:style>
  <w:style w:type="paragraph" w:styleId="TOC2">
    <w:name w:val="toc 2"/>
    <w:basedOn w:val="Normal"/>
    <w:next w:val="Normal"/>
    <w:autoRedefine/>
    <w:uiPriority w:val="39"/>
    <w:unhideWhenUsed/>
    <w:rsid w:val="00C5122F"/>
    <w:pPr>
      <w:spacing w:after="100"/>
      <w:ind w:left="220"/>
    </w:pPr>
  </w:style>
  <w:style w:type="table" w:customStyle="1" w:styleId="TableGrid1">
    <w:name w:val="Table Grid1"/>
    <w:basedOn w:val="TableNormal"/>
    <w:next w:val="TableGrid"/>
    <w:uiPriority w:val="39"/>
    <w:rsid w:val="00D82C65"/>
    <w:pPr>
      <w:spacing w:after="0" w:line="240" w:lineRule="auto"/>
    </w:pPr>
    <w:rPr>
      <w:rFonts w:ascii="Aptos" w:eastAsia="Aptos" w:hAnsi="Aptos" w:cs="Times New Roman"/>
      <w:kern w:val="2"/>
      <w:sz w:val="24"/>
      <w:szCs w:val="24"/>
      <w:lang w:val="en-GB"/>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82C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abs/10.1111/raq.1275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rs.usda.gov/topics/animal-products/aquaculture" TargetMode="External"/><Relationship Id="rId5" Type="http://schemas.openxmlformats.org/officeDocument/2006/relationships/webSettings" Target="webSettings.xml"/><Relationship Id="rId10" Type="http://schemas.openxmlformats.org/officeDocument/2006/relationships/hyperlink" Target="https://www.was.org/Meeting/Program/PaperDetail/160691" TargetMode="External"/><Relationship Id="rId4" Type="http://schemas.openxmlformats.org/officeDocument/2006/relationships/settings" Target="settings.xml"/><Relationship Id="rId9" Type="http://schemas.openxmlformats.org/officeDocument/2006/relationships/hyperlink" Target="https://newsonjapan.com/article/149412.ph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837</Words>
  <Characters>4776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generated by python-docx</dc:description>
  <cp:lastModifiedBy>USER</cp:lastModifiedBy>
  <cp:revision>2</cp:revision>
  <dcterms:created xsi:type="dcterms:W3CDTF">2026-10-29T11:52:00Z</dcterms:created>
  <dcterms:modified xsi:type="dcterms:W3CDTF">2026-10-29T11:52:00Z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7c5ca954401c0009363bf116c78810e24ba0cc293cc8ce5aa09749c83eb8d3d3</vt:lpwstr>
  </property>
</Properties>
</file>