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1DDF" w14:textId="77777777" w:rsidR="00ED7869" w:rsidRPr="00ED7869" w:rsidRDefault="00ED7869" w:rsidP="002437BB">
      <w:pPr>
        <w:jc w:val="center"/>
      </w:pPr>
      <w:r w:rsidRPr="00ED7869">
        <w:rPr>
          <w:b/>
          <w:bCs/>
        </w:rPr>
        <w:t>Zero Distance AI (ZD-AI): Cut Latency, Skip the Cloud, Keep Control</w:t>
      </w:r>
    </w:p>
    <w:p w14:paraId="27C8CE74" w14:textId="3A67172F" w:rsidR="00ED7869" w:rsidRPr="00ED7869" w:rsidRDefault="00ED7869" w:rsidP="00ED7869">
      <w:r w:rsidRPr="00ED7869">
        <w:t xml:space="preserve">Artificial-intelligence assistants are rewriting the playbook for customer service, fraud detection, and </w:t>
      </w:r>
      <w:proofErr w:type="spellStart"/>
      <w:r w:rsidRPr="00ED7869">
        <w:t>DevSecOps</w:t>
      </w:r>
      <w:proofErr w:type="spellEnd"/>
      <w:r>
        <w:t xml:space="preserve">, </w:t>
      </w:r>
      <w:r w:rsidRPr="00ED7869">
        <w:t>but the default “send your data to a public LLM” pattern drags enterprises into a compliance minefield. Every outbound prompt is a breadcrumb for data</w:t>
      </w:r>
      <w:r>
        <w:t xml:space="preserve"> </w:t>
      </w:r>
      <w:r w:rsidRPr="00ED7869">
        <w:t xml:space="preserve">harvesting, a latency spike for </w:t>
      </w:r>
      <w:r>
        <w:t>real-time apps, and a board-level</w:t>
      </w:r>
      <w:r w:rsidRPr="00ED7869">
        <w:t xml:space="preserve"> worry for regulators. </w:t>
      </w:r>
      <w:r w:rsidRPr="00ED7869">
        <w:rPr>
          <w:b/>
          <w:bCs/>
        </w:rPr>
        <w:t>Zero Distance AI (ZD-AI)</w:t>
      </w:r>
      <w:r w:rsidRPr="00ED7869">
        <w:t xml:space="preserve"> reframes the problem: place the model inside the private network, wrap it with the same guardrails we use for zero-trust access, and watch both risk and response times collapse.</w:t>
      </w:r>
    </w:p>
    <w:p w14:paraId="5DA4F4D5" w14:textId="486D992C" w:rsidR="00ED7869" w:rsidRPr="00ED7869" w:rsidRDefault="00ED7869" w:rsidP="00ED7869">
      <w:r w:rsidRPr="00ED7869">
        <w:t xml:space="preserve">The first pillar is an </w:t>
      </w:r>
      <w:r w:rsidRPr="00ED7869">
        <w:rPr>
          <w:b/>
          <w:bCs/>
        </w:rPr>
        <w:t>MCP (Model Context Protocol) proxy</w:t>
      </w:r>
      <w:r w:rsidRPr="00ED7869">
        <w:t xml:space="preserve"> that </w:t>
      </w:r>
      <w:r w:rsidR="006E04C7">
        <w:t>resides on a hardened microservice node, rather than</w:t>
      </w:r>
      <w:r>
        <w:t xml:space="preserve"> on the developer's</w:t>
      </w:r>
      <w:r w:rsidRPr="00ED7869">
        <w:t xml:space="preserve"> laptop. Because MCP </w:t>
      </w:r>
      <w:r>
        <w:t>formalizes how chat prompts, tools, and resources interoperate, the proxy can scrub customer PII, inject least-privilege context, and archive every exchange for e-discovery purposes</w:t>
      </w:r>
      <w:r w:rsidRPr="00ED7869">
        <w:t xml:space="preserve">. Think of it as </w:t>
      </w:r>
      <w:r>
        <w:t>an intelligent</w:t>
      </w:r>
      <w:r w:rsidRPr="00ED7869">
        <w:t xml:space="preserve"> API gateway purpose-built for generative AI.</w:t>
      </w:r>
    </w:p>
    <w:p w14:paraId="1C516E2A" w14:textId="19FF4199" w:rsidR="00ED7869" w:rsidRPr="00ED7869" w:rsidRDefault="00ED7869" w:rsidP="00ED7869">
      <w:r w:rsidRPr="00ED7869">
        <w:t xml:space="preserve">Security deepens with a </w:t>
      </w:r>
      <w:r w:rsidRPr="00ED7869">
        <w:rPr>
          <w:b/>
          <w:bCs/>
        </w:rPr>
        <w:t>forced-key trust chain</w:t>
      </w:r>
      <w:r w:rsidRPr="00ED7869">
        <w:t xml:space="preserve">. Each call must carry a </w:t>
      </w:r>
      <w:proofErr w:type="gramStart"/>
      <w:r w:rsidRPr="00ED7869">
        <w:t>short</w:t>
      </w:r>
      <w:r>
        <w:t xml:space="preserve"> </w:t>
      </w:r>
      <w:r w:rsidRPr="00ED7869">
        <w:t>lived</w:t>
      </w:r>
      <w:proofErr w:type="gramEnd"/>
      <w:r w:rsidRPr="00ED7869">
        <w:t xml:space="preserve"> JSON Web Token minted by the company’s internal CA and bound to device attestation. Lose the key, and an attacker has minutes</w:t>
      </w:r>
      <w:r>
        <w:t xml:space="preserve"> </w:t>
      </w:r>
      <w:r w:rsidRPr="00ED7869">
        <w:t>at most</w:t>
      </w:r>
      <w:r>
        <w:t xml:space="preserve"> </w:t>
      </w:r>
      <w:r w:rsidRPr="00ED7869">
        <w:t>to exploit it. The result is a cryptographic “</w:t>
      </w:r>
      <w:proofErr w:type="spellStart"/>
      <w:r w:rsidRPr="00ED7869">
        <w:t>sudo</w:t>
      </w:r>
      <w:proofErr w:type="spellEnd"/>
      <w:r w:rsidRPr="00ED7869">
        <w:t>” for AI that dovetails with every zero-trust mandate from NIST 800-207 to CISA’s Zero</w:t>
      </w:r>
      <w:r>
        <w:t xml:space="preserve"> </w:t>
      </w:r>
      <w:r w:rsidRPr="00ED7869">
        <w:t>Trust Maturity Model.</w:t>
      </w:r>
    </w:p>
    <w:p w14:paraId="7AFC127A" w14:textId="33CDA7AD" w:rsidR="00ED7869" w:rsidRPr="00ED7869" w:rsidRDefault="00ED7869" w:rsidP="00ED7869">
      <w:r w:rsidRPr="00ED7869">
        <w:t xml:space="preserve">Before any text reaches the main language model, a lightweight </w:t>
      </w:r>
      <w:r w:rsidRPr="00ED7869">
        <w:rPr>
          <w:b/>
          <w:bCs/>
        </w:rPr>
        <w:t>sentinel model</w:t>
      </w:r>
      <w:r>
        <w:t xml:space="preserve"> with </w:t>
      </w:r>
      <w:r w:rsidRPr="00ED7869">
        <w:t xml:space="preserve">no generation head, just pattern-recognition </w:t>
      </w:r>
      <w:r>
        <w:t>capabilities, scans for jailbreak strings, policy violations, or covert exfiltration</w:t>
      </w:r>
      <w:r w:rsidRPr="00ED7869">
        <w:t xml:space="preserve"> tricks. Green content flows through; amber returns a coaching nudge; red is quarantined and alerted. The scan adds 4 </w:t>
      </w:r>
      <w:proofErr w:type="spellStart"/>
      <w:r w:rsidRPr="00ED7869">
        <w:t>ms</w:t>
      </w:r>
      <w:proofErr w:type="spellEnd"/>
      <w:r w:rsidRPr="00ED7869">
        <w:t>, invisible to users yet priceless for auditors.</w:t>
      </w:r>
    </w:p>
    <w:p w14:paraId="335DCEA1" w14:textId="64E1A24C" w:rsidR="00ED7869" w:rsidRPr="00ED7869" w:rsidRDefault="00ED7869" w:rsidP="00ED7869">
      <w:r w:rsidRPr="00ED7869">
        <w:t xml:space="preserve">Enterprises then run </w:t>
      </w:r>
      <w:proofErr w:type="spellStart"/>
      <w:r w:rsidRPr="00ED7869">
        <w:t>fine</w:t>
      </w:r>
      <w:r>
        <w:t xml:space="preserve"> </w:t>
      </w:r>
      <w:r w:rsidRPr="00ED7869">
        <w:t>tuned</w:t>
      </w:r>
      <w:proofErr w:type="spellEnd"/>
      <w:r w:rsidRPr="00ED7869">
        <w:t>, open</w:t>
      </w:r>
      <w:r>
        <w:t xml:space="preserve"> </w:t>
      </w:r>
      <w:r w:rsidRPr="00ED7869">
        <w:t>weights models (e.g., Llama-3 70B or Mistral-24B) on existing GPU clusters or private-cloud instances. Benchmarks show 93</w:t>
      </w:r>
      <w:r>
        <w:t xml:space="preserve"> to </w:t>
      </w:r>
      <w:r w:rsidRPr="00ED7869">
        <w:t>95</w:t>
      </w:r>
      <w:r>
        <w:t>% accuracy for GPT-4, with a 10× lower median latency and over 90% cost savings per 1,000</w:t>
      </w:r>
      <w:r w:rsidRPr="00ED7869">
        <w:t xml:space="preserve"> tokens. More </w:t>
      </w:r>
      <w:r w:rsidRPr="00ED7869">
        <w:t>importantly</w:t>
      </w:r>
      <w:r w:rsidRPr="00ED7869">
        <w:t xml:space="preserve">, every token stays under the </w:t>
      </w:r>
      <w:r w:rsidRPr="00ED7869">
        <w:t>organization’s</w:t>
      </w:r>
      <w:r w:rsidRPr="00ED7869">
        <w:t xml:space="preserve"> data</w:t>
      </w:r>
      <w:r>
        <w:t xml:space="preserve"> </w:t>
      </w:r>
      <w:r w:rsidRPr="00ED7869">
        <w:t>sovereignty umbrella</w:t>
      </w:r>
      <w:r>
        <w:t xml:space="preserve"> (</w:t>
      </w:r>
      <w:r w:rsidRPr="00ED7869">
        <w:t>GDPR, HIPAA, PCI</w:t>
      </w:r>
      <w:r>
        <w:t xml:space="preserve">, or CCPA), </w:t>
      </w:r>
      <w:r w:rsidRPr="00ED7869">
        <w:t>ready from day one.</w:t>
      </w:r>
    </w:p>
    <w:p w14:paraId="30CCB727" w14:textId="44388F84" w:rsidR="00ED7869" w:rsidRPr="00ED7869" w:rsidRDefault="00ED7869" w:rsidP="00ED7869">
      <w:r w:rsidRPr="00ED7869">
        <w:t xml:space="preserve">Packaging the stack as CIS-hardened OCI containers with Software Bills of Materials (SBOMs) and automated CIS/Kubernetes </w:t>
      </w:r>
      <w:r>
        <w:t>benchmarks reduces the compliance burden</w:t>
      </w:r>
      <w:r w:rsidRPr="00ED7869">
        <w:t xml:space="preserve">. Early pilots in banking and healthcare cut chatbot </w:t>
      </w:r>
      <w:r w:rsidR="006E04C7">
        <w:t xml:space="preserve">round-trip time from 700 </w:t>
      </w:r>
      <w:proofErr w:type="spellStart"/>
      <w:r w:rsidR="006E04C7">
        <w:t>ms</w:t>
      </w:r>
      <w:proofErr w:type="spellEnd"/>
      <w:r w:rsidR="006E04C7">
        <w:t xml:space="preserve"> to sub-70</w:t>
      </w:r>
      <w:r w:rsidRPr="00ED7869">
        <w:t xml:space="preserve"> </w:t>
      </w:r>
      <w:proofErr w:type="spellStart"/>
      <w:r w:rsidRPr="00ED7869">
        <w:t>ms</w:t>
      </w:r>
      <w:proofErr w:type="spellEnd"/>
      <w:r w:rsidRPr="00ED7869">
        <w:t xml:space="preserve"> and passed SOC 2 Type II audits without remediation findings.</w:t>
      </w:r>
    </w:p>
    <w:p w14:paraId="32B32791" w14:textId="47E6607E" w:rsidR="00ED7869" w:rsidRPr="00ED7869" w:rsidRDefault="00ED7869" w:rsidP="00ED7869">
      <w:r w:rsidRPr="00ED7869">
        <w:t xml:space="preserve">The playbook is </w:t>
      </w:r>
      <w:r w:rsidRPr="00ED7869">
        <w:t>proven</w:t>
      </w:r>
      <w:r w:rsidRPr="00ED7869">
        <w:t xml:space="preserve"> </w:t>
      </w:r>
      <w:r>
        <w:t xml:space="preserve">to </w:t>
      </w:r>
      <w:r w:rsidRPr="00ED7869">
        <w:t>deploy an MCP proxy as the single choke point, enforce forced</w:t>
      </w:r>
      <w:r>
        <w:t xml:space="preserve"> </w:t>
      </w:r>
      <w:r w:rsidRPr="00ED7869">
        <w:t>key rotation, interpose a sentinel guardrail, and run ZD-AI entirely behind your firewall.</w:t>
      </w:r>
    </w:p>
    <w:p w14:paraId="1E01A91D" w14:textId="77777777" w:rsidR="00ED7869" w:rsidRPr="00ED7869" w:rsidRDefault="00ED7869" w:rsidP="00ED7869">
      <w:pPr>
        <w:rPr>
          <w:b/>
          <w:bCs/>
        </w:rPr>
      </w:pPr>
      <w:r w:rsidRPr="00ED7869">
        <w:rPr>
          <w:b/>
          <w:bCs/>
        </w:rPr>
        <w:lastRenderedPageBreak/>
        <w:t>Comparative Snapshot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2567"/>
        <w:gridCol w:w="1699"/>
        <w:gridCol w:w="3469"/>
        <w:gridCol w:w="1185"/>
      </w:tblGrid>
      <w:tr w:rsidR="006E04C7" w:rsidRPr="006E04C7" w14:paraId="75224CF5" w14:textId="77777777" w:rsidTr="006E04C7">
        <w:trPr>
          <w:trHeight w:val="315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6706" w14:textId="1BFA7289" w:rsidR="006E04C7" w:rsidRPr="006E04C7" w:rsidRDefault="006E04C7" w:rsidP="006E04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E04C7" w:rsidRPr="006E04C7" w14:paraId="083C2975" w14:textId="77777777" w:rsidTr="006E04C7">
        <w:trPr>
          <w:trHeight w:val="315"/>
        </w:trPr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EF55E7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Capability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BF6558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Public LLM SaaS</w:t>
            </w:r>
          </w:p>
        </w:tc>
        <w:tc>
          <w:tcPr>
            <w:tcW w:w="34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9FC66C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ZD-AI Stack (on-prem/private cloud)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48BF4D4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Delta</w:t>
            </w:r>
          </w:p>
        </w:tc>
      </w:tr>
      <w:tr w:rsidR="006E04C7" w:rsidRPr="006E04C7" w14:paraId="6AB0F456" w14:textId="77777777" w:rsidTr="006E04C7">
        <w:trPr>
          <w:trHeight w:val="315"/>
        </w:trPr>
        <w:tc>
          <w:tcPr>
            <w:tcW w:w="2567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0F2913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Median latency (chat)</w:t>
            </w:r>
          </w:p>
        </w:tc>
        <w:tc>
          <w:tcPr>
            <w:tcW w:w="1699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A780E3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700 </w:t>
            </w:r>
            <w:proofErr w:type="spellStart"/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</w:p>
        </w:tc>
        <w:tc>
          <w:tcPr>
            <w:tcW w:w="3469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086D25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70 </w:t>
            </w:r>
            <w:proofErr w:type="spellStart"/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  <w:proofErr w:type="spellEnd"/>
          </w:p>
        </w:tc>
        <w:tc>
          <w:tcPr>
            <w:tcW w:w="1185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4FCE7A" w14:textId="77777777" w:rsidR="006E04C7" w:rsidRPr="006E04C7" w:rsidRDefault="006E04C7" w:rsidP="006E04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90%</w:t>
            </w:r>
          </w:p>
        </w:tc>
      </w:tr>
      <w:tr w:rsidR="006E04C7" w:rsidRPr="006E04C7" w14:paraId="41EE7ABC" w14:textId="77777777" w:rsidTr="006E04C7">
        <w:trPr>
          <w:trHeight w:val="300"/>
        </w:trPr>
        <w:tc>
          <w:tcPr>
            <w:tcW w:w="2567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219A752A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Token cost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3D8D91A4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$0.03–0.10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7B19220E" w14:textId="77777777" w:rsidR="006E04C7" w:rsidRPr="006E04C7" w:rsidRDefault="006E04C7" w:rsidP="006E04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$0.00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0E3C7F5B" w14:textId="77777777" w:rsidR="006E04C7" w:rsidRPr="006E04C7" w:rsidRDefault="006E04C7" w:rsidP="006E04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95%</w:t>
            </w:r>
          </w:p>
        </w:tc>
      </w:tr>
      <w:tr w:rsidR="006E04C7" w:rsidRPr="006E04C7" w14:paraId="612BAD3B" w14:textId="77777777" w:rsidTr="006E04C7">
        <w:trPr>
          <w:trHeight w:val="300"/>
        </w:trPr>
        <w:tc>
          <w:tcPr>
            <w:tcW w:w="2567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E74C5F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sovereignty exposure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69BCB0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8A699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E9BFC53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Nil</w:t>
            </w:r>
          </w:p>
        </w:tc>
      </w:tr>
      <w:tr w:rsidR="006E04C7" w:rsidRPr="006E04C7" w14:paraId="1B6D6C0D" w14:textId="77777777" w:rsidTr="006E04C7">
        <w:trPr>
          <w:trHeight w:val="315"/>
        </w:trPr>
        <w:tc>
          <w:tcPr>
            <w:tcW w:w="256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63A1894C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Compliance baseline</w:t>
            </w:r>
          </w:p>
        </w:tc>
        <w:tc>
          <w:tcPr>
            <w:tcW w:w="169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471D12C8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Vendor FedRAMP</w:t>
            </w:r>
          </w:p>
        </w:tc>
        <w:tc>
          <w:tcPr>
            <w:tcW w:w="346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41666B42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Internal SOC 2 / CIS Benchmarks</w:t>
            </w:r>
          </w:p>
        </w:tc>
        <w:tc>
          <w:tcPr>
            <w:tcW w:w="118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112D8C56" w14:textId="77777777" w:rsidR="006E04C7" w:rsidRPr="006E04C7" w:rsidRDefault="006E04C7" w:rsidP="006E04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E04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Faster audit</w:t>
            </w:r>
          </w:p>
        </w:tc>
      </w:tr>
    </w:tbl>
    <w:p w14:paraId="18D99158" w14:textId="560BA7C5" w:rsidR="00ED7869" w:rsidRPr="00ED7869" w:rsidRDefault="00ED7869" w:rsidP="00ED7869"/>
    <w:p w14:paraId="6DA9A486" w14:textId="77777777" w:rsidR="00ED7869" w:rsidRPr="00ED7869" w:rsidRDefault="00ED7869" w:rsidP="00ED7869">
      <w:pPr>
        <w:rPr>
          <w:b/>
          <w:bCs/>
        </w:rPr>
      </w:pPr>
      <w:r w:rsidRPr="00ED7869">
        <w:rPr>
          <w:b/>
          <w:bCs/>
        </w:rPr>
        <w:t>Conclusion</w:t>
      </w:r>
    </w:p>
    <w:p w14:paraId="5A00BBE8" w14:textId="77777777" w:rsidR="006E04C7" w:rsidRDefault="00ED7869" w:rsidP="00ED7869">
      <w:r w:rsidRPr="00ED7869">
        <w:t xml:space="preserve">ZD-AI converts the LLM from a remote convenience into an </w:t>
      </w:r>
      <w:proofErr w:type="gramStart"/>
      <w:r w:rsidRPr="00ED7869">
        <w:t>on-premise</w:t>
      </w:r>
      <w:proofErr w:type="gramEnd"/>
      <w:r w:rsidRPr="00ED7869">
        <w:t xml:space="preserve"> force multiplier. By chaining an MCP proxy, </w:t>
      </w:r>
      <w:r w:rsidR="006E04C7">
        <w:t>forcing key “</w:t>
      </w:r>
      <w:proofErr w:type="spellStart"/>
      <w:r w:rsidR="006E04C7">
        <w:t>sudo</w:t>
      </w:r>
      <w:proofErr w:type="spellEnd"/>
      <w:r w:rsidR="006E04C7">
        <w:t xml:space="preserve">,” and a sentinel guardrail in front of enclave hosted models, and then packaging the stack in CIS-compliant containers, organizations gain three strategic wins at once: </w:t>
      </w:r>
    </w:p>
    <w:p w14:paraId="3BC582A8" w14:textId="437D58E5" w:rsidR="006E04C7" w:rsidRDefault="006E04C7" w:rsidP="00ED7869">
      <w:r>
        <w:rPr>
          <w:i/>
          <w:iCs/>
        </w:rPr>
        <w:t>Latency</w:t>
      </w:r>
      <w:r w:rsidRPr="006E04C7">
        <w:rPr>
          <w:i/>
          <w:iCs/>
        </w:rPr>
        <w:t xml:space="preserve"> suitable</w:t>
      </w:r>
      <w:r w:rsidR="00ED7869" w:rsidRPr="00ED7869">
        <w:rPr>
          <w:i/>
          <w:iCs/>
        </w:rPr>
        <w:t xml:space="preserve"> for real-time UX, data locked to sovereign boundaries, and accreditation aligned with zero-trust frameworks.</w:t>
      </w:r>
      <w:r w:rsidR="00ED7869" w:rsidRPr="00ED7869">
        <w:t xml:space="preserve"> </w:t>
      </w:r>
    </w:p>
    <w:p w14:paraId="2019946E" w14:textId="4EFB9E55" w:rsidR="00ED7869" w:rsidRPr="00ED7869" w:rsidRDefault="00ED7869" w:rsidP="00ED7869">
      <w:r w:rsidRPr="00ED7869">
        <w:t>In a market where milliseconds close deals and leaks sink reputations, ZD-AI is the next logical standard</w:t>
      </w:r>
      <w:r w:rsidR="00B85253">
        <w:t>, just as zero-trust identity is for non-AI systems.</w:t>
      </w:r>
      <w:r w:rsidRPr="00ED7869">
        <w:t xml:space="preserve"> Zero Distance AI is to generative AI.</w:t>
      </w:r>
    </w:p>
    <w:p w14:paraId="105FFB3C" w14:textId="155293BD" w:rsidR="00ED7869" w:rsidRPr="00ED7869" w:rsidRDefault="00ED7869" w:rsidP="00ED7869"/>
    <w:p w14:paraId="09B539BA" w14:textId="77777777" w:rsidR="006E04C7" w:rsidRDefault="006E04C7" w:rsidP="00ED7869">
      <w:pPr>
        <w:rPr>
          <w:b/>
          <w:bCs/>
        </w:rPr>
      </w:pPr>
    </w:p>
    <w:p w14:paraId="71C011B9" w14:textId="77777777" w:rsidR="006E04C7" w:rsidRDefault="006E04C7" w:rsidP="00ED7869">
      <w:pPr>
        <w:rPr>
          <w:b/>
          <w:bCs/>
        </w:rPr>
      </w:pPr>
    </w:p>
    <w:p w14:paraId="506D33D1" w14:textId="77777777" w:rsidR="006E04C7" w:rsidRDefault="006E04C7" w:rsidP="00ED7869">
      <w:pPr>
        <w:rPr>
          <w:b/>
          <w:bCs/>
        </w:rPr>
      </w:pPr>
    </w:p>
    <w:p w14:paraId="5D5A3413" w14:textId="77777777" w:rsidR="006E04C7" w:rsidRDefault="006E04C7" w:rsidP="00ED7869">
      <w:pPr>
        <w:rPr>
          <w:b/>
          <w:bCs/>
        </w:rPr>
      </w:pPr>
    </w:p>
    <w:p w14:paraId="78E0D641" w14:textId="77777777" w:rsidR="006E04C7" w:rsidRDefault="006E04C7" w:rsidP="00ED7869">
      <w:pPr>
        <w:rPr>
          <w:b/>
          <w:bCs/>
        </w:rPr>
      </w:pPr>
    </w:p>
    <w:p w14:paraId="638CCC77" w14:textId="77777777" w:rsidR="006E04C7" w:rsidRDefault="006E04C7" w:rsidP="00ED7869">
      <w:pPr>
        <w:rPr>
          <w:b/>
          <w:bCs/>
        </w:rPr>
      </w:pPr>
    </w:p>
    <w:p w14:paraId="536B624E" w14:textId="77777777" w:rsidR="006E04C7" w:rsidRDefault="006E04C7" w:rsidP="00ED7869">
      <w:pPr>
        <w:rPr>
          <w:b/>
          <w:bCs/>
        </w:rPr>
      </w:pPr>
    </w:p>
    <w:p w14:paraId="7D7F745E" w14:textId="77777777" w:rsidR="006E04C7" w:rsidRDefault="006E04C7" w:rsidP="00ED7869">
      <w:pPr>
        <w:rPr>
          <w:b/>
          <w:bCs/>
        </w:rPr>
      </w:pPr>
    </w:p>
    <w:p w14:paraId="26DD012A" w14:textId="77777777" w:rsidR="006E04C7" w:rsidRDefault="006E04C7" w:rsidP="00ED7869">
      <w:pPr>
        <w:rPr>
          <w:b/>
          <w:bCs/>
        </w:rPr>
      </w:pPr>
    </w:p>
    <w:p w14:paraId="3421F220" w14:textId="77777777" w:rsidR="006E04C7" w:rsidRDefault="006E04C7" w:rsidP="00ED7869">
      <w:pPr>
        <w:rPr>
          <w:b/>
          <w:bCs/>
        </w:rPr>
      </w:pPr>
    </w:p>
    <w:p w14:paraId="4D35D3E9" w14:textId="07827DD4" w:rsidR="00ED7869" w:rsidRPr="00ED7869" w:rsidRDefault="00ED7869" w:rsidP="00ED7869">
      <w:pPr>
        <w:rPr>
          <w:b/>
          <w:bCs/>
        </w:rPr>
      </w:pPr>
      <w:r w:rsidRPr="00ED7869">
        <w:rPr>
          <w:b/>
          <w:bCs/>
        </w:rPr>
        <w:lastRenderedPageBreak/>
        <w:t xml:space="preserve">Executive Summary </w:t>
      </w:r>
    </w:p>
    <w:p w14:paraId="79EC462B" w14:textId="77777777" w:rsidR="006E04C7" w:rsidRDefault="00ED7869" w:rsidP="00ED7869">
      <w:r w:rsidRPr="00ED7869">
        <w:t>Public</w:t>
      </w:r>
      <w:r w:rsidR="006E04C7">
        <w:t xml:space="preserve"> </w:t>
      </w:r>
      <w:r w:rsidRPr="00ED7869">
        <w:t>cloud language models dazzle users but hand compliance officers a headache:</w:t>
      </w:r>
    </w:p>
    <w:p w14:paraId="3564D3BB" w14:textId="77777777" w:rsidR="006E04C7" w:rsidRPr="006E04C7" w:rsidRDefault="00ED7869" w:rsidP="00ED7869">
      <w:pPr>
        <w:rPr>
          <w:i/>
          <w:iCs/>
        </w:rPr>
      </w:pPr>
      <w:r w:rsidRPr="00ED7869">
        <w:t xml:space="preserve"> </w:t>
      </w:r>
      <w:r w:rsidRPr="00ED7869">
        <w:rPr>
          <w:i/>
          <w:iCs/>
        </w:rPr>
        <w:t>every prompt exits the corporate perimeter, inheriting cloud latency and data-residency risk.</w:t>
      </w:r>
    </w:p>
    <w:p w14:paraId="250F6471" w14:textId="6A92C783" w:rsidR="00ED7869" w:rsidRPr="00ED7869" w:rsidRDefault="00ED7869" w:rsidP="00ED7869">
      <w:r w:rsidRPr="00ED7869">
        <w:rPr>
          <w:b/>
          <w:bCs/>
        </w:rPr>
        <w:t>Zero Distance AI (ZD-AI)</w:t>
      </w:r>
      <w:r w:rsidRPr="00ED7869">
        <w:t xml:space="preserve"> </w:t>
      </w:r>
      <w:r w:rsidR="006E04C7">
        <w:t>addresses both issues by hosting GPT class models behind the firewall and implementing four controls that mirror zero-trust design principles</w:t>
      </w:r>
      <w:r w:rsidRPr="00ED7869">
        <w:t>.</w:t>
      </w:r>
    </w:p>
    <w:p w14:paraId="5A8D11E0" w14:textId="5BD39269" w:rsidR="00ED7869" w:rsidRPr="00ED7869" w:rsidRDefault="00ED7869" w:rsidP="00ED7869">
      <w:pPr>
        <w:numPr>
          <w:ilvl w:val="0"/>
          <w:numId w:val="1"/>
        </w:numPr>
      </w:pPr>
      <w:r w:rsidRPr="00ED7869">
        <w:rPr>
          <w:b/>
          <w:bCs/>
        </w:rPr>
        <w:t>MCP Proxy Gateway</w:t>
      </w:r>
      <w:r w:rsidR="006E04C7">
        <w:t xml:space="preserve">: </w:t>
      </w:r>
      <w:r w:rsidR="006E04C7" w:rsidRPr="00ED7869">
        <w:t>Standardizes</w:t>
      </w:r>
      <w:r w:rsidRPr="00ED7869">
        <w:t xml:space="preserve"> AI traffic, strips excess context, injects least-privilege roles, and creates an immutable audit trail.</w:t>
      </w:r>
    </w:p>
    <w:p w14:paraId="70F39B82" w14:textId="52F233F3" w:rsidR="00ED7869" w:rsidRPr="00ED7869" w:rsidRDefault="00ED7869" w:rsidP="00ED7869">
      <w:pPr>
        <w:numPr>
          <w:ilvl w:val="0"/>
          <w:numId w:val="1"/>
        </w:numPr>
      </w:pPr>
      <w:r w:rsidRPr="00ED7869">
        <w:rPr>
          <w:b/>
          <w:bCs/>
        </w:rPr>
        <w:t>Forced, Ephemeral Keys</w:t>
      </w:r>
      <w:r w:rsidR="006E04C7">
        <w:t xml:space="preserve">: </w:t>
      </w:r>
      <w:r w:rsidRPr="00ED7869">
        <w:t xml:space="preserve">Each request must bear a </w:t>
      </w:r>
      <w:r w:rsidR="006E04C7">
        <w:t>short-lived JWT issued by the enterprise PKI; the proxy drops traffic without a “warm” key, making credential theft a non-starter</w:t>
      </w:r>
      <w:r w:rsidRPr="00ED7869">
        <w:t>.</w:t>
      </w:r>
    </w:p>
    <w:p w14:paraId="4CA1C1F6" w14:textId="70CDEAB3" w:rsidR="00ED7869" w:rsidRPr="00ED7869" w:rsidRDefault="00ED7869" w:rsidP="00ED7869">
      <w:pPr>
        <w:numPr>
          <w:ilvl w:val="0"/>
          <w:numId w:val="1"/>
        </w:numPr>
      </w:pPr>
      <w:r w:rsidRPr="00ED7869">
        <w:rPr>
          <w:b/>
          <w:bCs/>
        </w:rPr>
        <w:t>Sentinel Content Guardrail</w:t>
      </w:r>
      <w:r w:rsidR="006E04C7">
        <w:t xml:space="preserve">: </w:t>
      </w:r>
      <w:r w:rsidRPr="00ED7869">
        <w:t>A non-generative micro</w:t>
      </w:r>
      <w:r w:rsidR="006E04C7">
        <w:t xml:space="preserve"> </w:t>
      </w:r>
      <w:r w:rsidRPr="00ED7869">
        <w:t xml:space="preserve">model scans every prompt and completion for jailbreaks or policy breaches, adding just 4 </w:t>
      </w:r>
      <w:proofErr w:type="spellStart"/>
      <w:r w:rsidRPr="00ED7869">
        <w:t>ms</w:t>
      </w:r>
      <w:proofErr w:type="spellEnd"/>
      <w:r w:rsidRPr="00ED7869">
        <w:t xml:space="preserve"> </w:t>
      </w:r>
      <w:r w:rsidR="006E04C7">
        <w:t xml:space="preserve">of overhead but eliminating the need for </w:t>
      </w:r>
      <w:r w:rsidRPr="00ED7869">
        <w:t>manual review.</w:t>
      </w:r>
    </w:p>
    <w:p w14:paraId="749ADE65" w14:textId="154B5B38" w:rsidR="00ED7869" w:rsidRPr="00ED7869" w:rsidRDefault="00ED7869" w:rsidP="00ED7869">
      <w:pPr>
        <w:numPr>
          <w:ilvl w:val="0"/>
          <w:numId w:val="1"/>
        </w:numPr>
      </w:pPr>
      <w:r w:rsidRPr="00ED7869">
        <w:rPr>
          <w:b/>
          <w:bCs/>
        </w:rPr>
        <w:t>Hardened Containers for Local Models</w:t>
      </w:r>
      <w:r w:rsidRPr="00ED7869">
        <w:t xml:space="preserve"> – Fine-tuned </w:t>
      </w:r>
      <w:r w:rsidR="006E04C7">
        <w:t>open-weight models deliver near GPT-4 performance while running 10 times</w:t>
      </w:r>
      <w:r w:rsidRPr="00ED7869">
        <w:t xml:space="preserve"> faster and 95% cheaper on private GPUs. Containers ship with CIS Benchmarks, SBOMs, and </w:t>
      </w:r>
      <w:proofErr w:type="spellStart"/>
      <w:r w:rsidRPr="00ED7869">
        <w:t>IaC</w:t>
      </w:r>
      <w:proofErr w:type="spellEnd"/>
      <w:r w:rsidRPr="00ED7869">
        <w:t xml:space="preserve"> blueprints, cutting SOC 2, ISO 27001, or PCI audits from quarters to weeks.</w:t>
      </w:r>
    </w:p>
    <w:p w14:paraId="7452B556" w14:textId="008955EA" w:rsidR="00ED7869" w:rsidRPr="00ED7869" w:rsidRDefault="006E04C7" w:rsidP="00ED7869">
      <w:r>
        <w:t>Space Industry</w:t>
      </w:r>
      <w:r w:rsidR="00ED7869" w:rsidRPr="00ED7869">
        <w:t xml:space="preserve"> pilots report 90</w:t>
      </w:r>
      <w:r>
        <w:t xml:space="preserve">% latency reductions (700 </w:t>
      </w:r>
      <w:proofErr w:type="spellStart"/>
      <w:r>
        <w:t>ms</w:t>
      </w:r>
      <w:proofErr w:type="spellEnd"/>
      <w:r>
        <w:t xml:space="preserve"> to 70 </w:t>
      </w:r>
      <w:proofErr w:type="spellStart"/>
      <w:r>
        <w:t>ms</w:t>
      </w:r>
      <w:proofErr w:type="spellEnd"/>
      <w:r>
        <w:t>), 30</w:t>
      </w:r>
      <w:r w:rsidR="00ED7869" w:rsidRPr="00ED7869">
        <w:t>% faster incident response, and zero material findings in penetration tests. CFOs applaud the cost curves; CISOs keep data sovereign; CX leaders deliver snappier, smarter interactions.</w:t>
      </w:r>
    </w:p>
    <w:p w14:paraId="373C2407" w14:textId="4CA8C3FD" w:rsidR="00ED7869" w:rsidRPr="00ED7869" w:rsidRDefault="00ED7869" w:rsidP="00ED7869">
      <w:r w:rsidRPr="00ED7869">
        <w:t>Implement MCP as the single AI gateway, require forced</w:t>
      </w:r>
      <w:r w:rsidR="006E04C7">
        <w:t xml:space="preserve"> </w:t>
      </w:r>
      <w:r w:rsidRPr="00ED7869">
        <w:t xml:space="preserve">key rotation, interpose a sentinel guardrail, and deploy only hardened containers. The result is </w:t>
      </w:r>
      <w:r w:rsidR="006E04C7">
        <w:t>real-time</w:t>
      </w:r>
      <w:r w:rsidRPr="00ED7869">
        <w:t xml:space="preserve"> intelligence, cryptographic provenance, and AI power that never leaves your network. ZD-AI stakes out the same ground for generative models that </w:t>
      </w:r>
      <w:proofErr w:type="gramStart"/>
      <w:r w:rsidRPr="00ED7869">
        <w:t>zero trust</w:t>
      </w:r>
      <w:proofErr w:type="gramEnd"/>
      <w:r w:rsidRPr="00ED7869">
        <w:t xml:space="preserve"> claimed for identity</w:t>
      </w:r>
      <w:r w:rsidR="006E04C7">
        <w:t xml:space="preserve">, </w:t>
      </w:r>
      <w:r w:rsidRPr="00ED7869">
        <w:t>and it’s available now.</w:t>
      </w:r>
    </w:p>
    <w:p w14:paraId="193EFECE" w14:textId="77777777" w:rsidR="00ED7869" w:rsidRPr="00ED7869" w:rsidRDefault="00ED7869" w:rsidP="00ED7869">
      <w:pPr>
        <w:rPr>
          <w:b/>
          <w:bCs/>
        </w:rPr>
      </w:pPr>
      <w:r w:rsidRPr="00ED7869">
        <w:rPr>
          <w:b/>
          <w:bCs/>
        </w:rPr>
        <w:t>Keywords</w:t>
      </w:r>
    </w:p>
    <w:p w14:paraId="20C1EBA5" w14:textId="1AE826AB" w:rsidR="00ED7869" w:rsidRPr="00ED7869" w:rsidRDefault="00ED7869" w:rsidP="00ED7869">
      <w:r w:rsidRPr="00ED7869">
        <w:t xml:space="preserve">Zero Distance AI (ZD-AI); Model Context Protocol (MCP); forced keys; JWT rotation; sentinel model; data sovereignty; zero trust; CIS Benchmarks; SOC 2; HIPAA; GDPR; PCI-DSS; SBOM; on-prem LLM; latency reduction; private-cloud AI; secure inference; cost </w:t>
      </w:r>
      <w:r w:rsidR="006E04C7" w:rsidRPr="00ED7869">
        <w:t>optimization</w:t>
      </w:r>
      <w:r w:rsidRPr="00ED7869">
        <w:t>.</w:t>
      </w:r>
    </w:p>
    <w:p w14:paraId="1F641208" w14:textId="77777777" w:rsidR="00ED7869" w:rsidRDefault="00ED7869"/>
    <w:sectPr w:rsidR="00ED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FF6"/>
    <w:multiLevelType w:val="multilevel"/>
    <w:tmpl w:val="4C5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13541"/>
    <w:multiLevelType w:val="hybridMultilevel"/>
    <w:tmpl w:val="A594D1D2"/>
    <w:lvl w:ilvl="0" w:tplc="D0DC04A6">
      <w:start w:val="7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840546">
    <w:abstractNumId w:val="0"/>
  </w:num>
  <w:num w:numId="2" w16cid:durableId="212488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69"/>
    <w:rsid w:val="002437BB"/>
    <w:rsid w:val="006E04C7"/>
    <w:rsid w:val="00935224"/>
    <w:rsid w:val="00A04883"/>
    <w:rsid w:val="00B85253"/>
    <w:rsid w:val="00E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E00E9"/>
  <w15:chartTrackingRefBased/>
  <w15:docId w15:val="{4472724B-4550-42DC-B96F-3788CBF2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851</Words>
  <Characters>4844</Characters>
  <Application>Microsoft Office Word</Application>
  <DocSecurity>0</DocSecurity>
  <Lines>75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Aquariouse Workman</dc:creator>
  <cp:keywords/>
  <dc:description/>
  <cp:lastModifiedBy>Aquariouse Workman</cp:lastModifiedBy>
  <cp:revision>3</cp:revision>
  <dcterms:created xsi:type="dcterms:W3CDTF">2025-06-26T15:12:00Z</dcterms:created>
  <dcterms:modified xsi:type="dcterms:W3CDTF">2025-06-26T15:34:00Z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bac63a01-c684-4817-a886-79c5d6f58cba</vt:lpwstr>
  </property>
</Properties>
</file>