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45BCD" w14:textId="12FCB51E" w:rsidR="006179EA" w:rsidRPr="002E47DF" w:rsidRDefault="006179EA" w:rsidP="002E47DF">
      <w:pPr>
        <w:jc w:val="center"/>
        <w:rPr>
          <w:b/>
          <w:bCs/>
        </w:rPr>
      </w:pPr>
      <w:r w:rsidRPr="002E47DF">
        <w:rPr>
          <w:b/>
          <w:bCs/>
        </w:rPr>
        <w:t>Kill the Latency, Lock the Data: Inside</w:t>
      </w:r>
      <w:r w:rsidR="002E47DF">
        <w:rPr>
          <w:b/>
          <w:bCs/>
        </w:rPr>
        <w:t xml:space="preserve"> </w:t>
      </w:r>
      <w:r w:rsidRPr="002E47DF">
        <w:rPr>
          <w:b/>
          <w:bCs/>
        </w:rPr>
        <w:t>the</w:t>
      </w:r>
      <w:r w:rsidR="002E47DF">
        <w:rPr>
          <w:b/>
          <w:bCs/>
        </w:rPr>
        <w:t xml:space="preserve"> </w:t>
      </w:r>
      <w:r w:rsidRPr="002E47DF">
        <w:rPr>
          <w:b/>
          <w:bCs/>
        </w:rPr>
        <w:t>Wire</w:t>
      </w:r>
      <w:r w:rsidR="002E47DF">
        <w:rPr>
          <w:b/>
          <w:bCs/>
        </w:rPr>
        <w:t>,</w:t>
      </w:r>
      <w:r w:rsidRPr="002E47DF">
        <w:rPr>
          <w:b/>
          <w:bCs/>
        </w:rPr>
        <w:t xml:space="preserve"> </w:t>
      </w:r>
      <w:r w:rsidR="002E47DF">
        <w:rPr>
          <w:b/>
          <w:bCs/>
        </w:rPr>
        <w:t>Zero Distance AI</w:t>
      </w:r>
      <w:r w:rsidRPr="002E47DF">
        <w:rPr>
          <w:b/>
          <w:bCs/>
        </w:rPr>
        <w:t xml:space="preserve"> with MCP Shields and Forced Keys for Command</w:t>
      </w:r>
      <w:r w:rsidR="002E47DF">
        <w:rPr>
          <w:b/>
          <w:bCs/>
        </w:rPr>
        <w:t xml:space="preserve"> </w:t>
      </w:r>
      <w:r w:rsidRPr="002E47DF">
        <w:rPr>
          <w:b/>
          <w:bCs/>
        </w:rPr>
        <w:t>Grade Security</w:t>
      </w:r>
    </w:p>
    <w:p w14:paraId="7B1FE407" w14:textId="77777777" w:rsidR="006179EA" w:rsidRDefault="006179EA"/>
    <w:p w14:paraId="72C6A55B" w14:textId="032D776A" w:rsidR="006179EA" w:rsidRPr="006179EA" w:rsidRDefault="006179EA" w:rsidP="006179EA">
      <w:r w:rsidRPr="006179EA">
        <w:t xml:space="preserve">Artificial-intelligence workflows are fast becoming the cognitive engine behind mission command, cyberspace defense, and ISR fusion. Yet today’s default of shipping every prompt to a public large-language-model endpoint exposes two unacceptable liabilities for U.S. defense agencies: the round-trip latency that slows kill-chain decisions and the uncontrolled egress of classified context. A </w:t>
      </w:r>
      <w:r w:rsidR="002E47DF">
        <w:t>Z</w:t>
      </w:r>
      <w:r w:rsidRPr="006179EA">
        <w:t>ero</w:t>
      </w:r>
      <w:r w:rsidR="002E47DF">
        <w:t xml:space="preserve"> D</w:t>
      </w:r>
      <w:r w:rsidRPr="006179EA">
        <w:t>istance A</w:t>
      </w:r>
      <w:r w:rsidR="002E47DF">
        <w:t>I (ZD-AI)</w:t>
      </w:r>
      <w:r w:rsidRPr="006179EA">
        <w:t xml:space="preserve"> posture</w:t>
      </w:r>
      <w:r>
        <w:t xml:space="preserve">, </w:t>
      </w:r>
      <w:r w:rsidR="002E47DF">
        <w:t>which runs models entirely inside IL-5/IL-6 enclaves, meets both challenges without demanding moonshot</w:t>
      </w:r>
      <w:r w:rsidRPr="006179EA">
        <w:t xml:space="preserve"> hardware investments.</w:t>
      </w:r>
    </w:p>
    <w:p w14:paraId="49C27624" w14:textId="7F3D0D38" w:rsidR="006179EA" w:rsidRPr="006179EA" w:rsidRDefault="006179EA" w:rsidP="006179EA">
      <w:r w:rsidRPr="006179EA">
        <w:t xml:space="preserve">At the core of this posture </w:t>
      </w:r>
      <w:r w:rsidR="002E47DF">
        <w:t>is a Model Context Protocol (MCP) proxy that resides on a hardened network appliance,</w:t>
      </w:r>
      <w:r w:rsidRPr="006179EA">
        <w:t xml:space="preserve"> rather than the analyst’s laptop. Because MCP standardizes how tools, resources, and prompts interact, the proxy can strip personally identifiable details, down-scope context to the minimum required, and log every exchange for chain-of-custody</w:t>
      </w:r>
      <w:r>
        <w:t xml:space="preserve">. </w:t>
      </w:r>
      <w:proofErr w:type="gramStart"/>
      <w:r>
        <w:t>Similar to</w:t>
      </w:r>
      <w:proofErr w:type="gramEnd"/>
      <w:r w:rsidRPr="006179EA">
        <w:t xml:space="preserve"> </w:t>
      </w:r>
      <w:r w:rsidR="002E47DF">
        <w:t xml:space="preserve">what </w:t>
      </w:r>
      <w:r w:rsidRPr="006179EA">
        <w:t>a cross-domain guard does for data diodes, but with AI-native semantics. Placing the proxy “in the middle” also decouples user devices from the heavier GPU nodes, reducing the attack surface to a single, well-scoped box that can be patched on a routine cadence.</w:t>
      </w:r>
    </w:p>
    <w:p w14:paraId="443B1413" w14:textId="46F3BC52" w:rsidR="006179EA" w:rsidRDefault="006179EA" w:rsidP="006179EA">
      <w:r w:rsidRPr="006179EA">
        <w:t xml:space="preserve">Security is tightened further by a forced-key trust chain layered on top of MCP. Each client is required to attach a </w:t>
      </w:r>
      <w:proofErr w:type="gramStart"/>
      <w:r w:rsidRPr="006179EA">
        <w:t>short</w:t>
      </w:r>
      <w:r>
        <w:t xml:space="preserve"> </w:t>
      </w:r>
      <w:r w:rsidRPr="006179EA">
        <w:t>lived</w:t>
      </w:r>
      <w:proofErr w:type="gramEnd"/>
      <w:r w:rsidRPr="006179EA">
        <w:t xml:space="preserve"> JSON Web Token minted by an internal certificate authority and valid for only minutes. In effect, the key functions as a lightweight “</w:t>
      </w:r>
      <w:proofErr w:type="spellStart"/>
      <w:r w:rsidRPr="006179EA">
        <w:t>sudo</w:t>
      </w:r>
      <w:proofErr w:type="spellEnd"/>
      <w:r w:rsidRPr="006179EA">
        <w:t>” that must be presented for every model call; stolen credentials expire before an adversary can pivot. Because the MCP proxy will not forward traffic without a warm key, privilege escalation becomes a cryptographic rather than procedural control, aligning perfectly with DoD zero-trust directives.</w:t>
      </w:r>
    </w:p>
    <w:p w14:paraId="08DAC5E8" w14:textId="7525A82E" w:rsidR="00D41F9B" w:rsidRPr="006179EA" w:rsidRDefault="00D41F9B" w:rsidP="006179EA">
      <w:r w:rsidRPr="00D41F9B">
        <w:t xml:space="preserve">Before any prompt or completion reaches the primary LLM, it first passes through a lightweight “sentinel” model that has no generative capability of its own. Trained exclusively to detect jailbreak patterns, covert exfil strings, and OPSEC-sensitive terms, the sentinel performs a semantic sweep in roughly four milliseconds and returns a simple </w:t>
      </w:r>
      <w:r>
        <w:t>go</w:t>
      </w:r>
      <w:r w:rsidR="002E47DF">
        <w:t>/no-go</w:t>
      </w:r>
      <w:r w:rsidRPr="00D41F9B">
        <w:t xml:space="preserve"> verdict. Green traffic flows forward to the generative engine</w:t>
      </w:r>
      <w:r>
        <w:t xml:space="preserve">, </w:t>
      </w:r>
      <w:r w:rsidRPr="00D41F9B">
        <w:t>amber triggers a user coaching message</w:t>
      </w:r>
      <w:r>
        <w:t xml:space="preserve">, </w:t>
      </w:r>
      <w:r w:rsidR="002E47DF">
        <w:t xml:space="preserve">and </w:t>
      </w:r>
      <w:r w:rsidRPr="00D41F9B">
        <w:t>red is quarantined and logged for security review. Because the guardrail sits inside the same hardened enclosure and relies on short-lived keys issued by the MCP proxy, it converts what used to be a policy reminder</w:t>
      </w:r>
      <w:r>
        <w:t xml:space="preserve"> </w:t>
      </w:r>
      <w:r w:rsidRPr="00D41F9B">
        <w:t>“don’t paste classified data”</w:t>
      </w:r>
      <w:r>
        <w:t xml:space="preserve"> </w:t>
      </w:r>
      <w:r w:rsidRPr="00D41F9B">
        <w:t>into an always</w:t>
      </w:r>
      <w:r>
        <w:t xml:space="preserve"> </w:t>
      </w:r>
      <w:r w:rsidRPr="00D41F9B">
        <w:t xml:space="preserve">on, cryptographic control. The result is automated prompt hygiene that </w:t>
      </w:r>
      <w:r w:rsidRPr="00D41F9B">
        <w:lastRenderedPageBreak/>
        <w:t>scales to thousands of analysts without adding meaningful latency or requiring them to learn new workflows.</w:t>
      </w:r>
    </w:p>
    <w:p w14:paraId="18795A42" w14:textId="42CC5F2F" w:rsidR="006179EA" w:rsidRPr="006179EA" w:rsidRDefault="006179EA" w:rsidP="006179EA">
      <w:r w:rsidRPr="006179EA">
        <w:t xml:space="preserve">Once inside the enclave, fine-tuned </w:t>
      </w:r>
      <w:r w:rsidR="002E47DF">
        <w:t xml:space="preserve">open-weight models such as Llama-3-70 B or a clustered Mistral 8×22 B have proven to reach roughly 94 percent of GPT-4 accuracy on mixed planning, policy, and cyber triage tasks, while slashing the </w:t>
      </w:r>
      <w:r w:rsidRPr="006179EA">
        <w:t xml:space="preserve">median response time from 650 </w:t>
      </w:r>
      <w:proofErr w:type="spellStart"/>
      <w:r w:rsidRPr="006179EA">
        <w:t>ms</w:t>
      </w:r>
      <w:proofErr w:type="spellEnd"/>
      <w:r w:rsidRPr="006179EA">
        <w:t xml:space="preserve"> to 60 </w:t>
      </w:r>
      <w:proofErr w:type="spellStart"/>
      <w:r w:rsidRPr="006179EA">
        <w:t>ms.</w:t>
      </w:r>
      <w:proofErr w:type="spellEnd"/>
      <w:r w:rsidRPr="006179EA">
        <w:t xml:space="preserve"> For most Defense workflows</w:t>
      </w:r>
      <w:r w:rsidR="002E47DF">
        <w:t>,</w:t>
      </w:r>
      <w:r w:rsidRPr="006179EA">
        <w:t xml:space="preserve"> that extra six</w:t>
      </w:r>
      <w:r w:rsidR="00D41F9B">
        <w:t xml:space="preserve"> </w:t>
      </w:r>
      <w:r w:rsidRPr="006179EA">
        <w:t xml:space="preserve">percent performance gap is not operationally </w:t>
      </w:r>
      <w:r>
        <w:t>acceptable</w:t>
      </w:r>
      <w:r w:rsidRPr="006179EA">
        <w:t xml:space="preserve">; the latency savings and guaranteed data residency are. Hosting costs, when </w:t>
      </w:r>
      <w:r w:rsidR="00D41F9B">
        <w:t xml:space="preserve">spread </w:t>
      </w:r>
      <w:r w:rsidR="002E47DF">
        <w:t>across existing A100 or H100 capacity, amount to</w:t>
      </w:r>
      <w:r w:rsidRPr="006179EA">
        <w:t xml:space="preserve"> well under two-tenths of a cent per thousand tokens.</w:t>
      </w:r>
    </w:p>
    <w:p w14:paraId="6277F149" w14:textId="29A38C56" w:rsidR="006179EA" w:rsidRPr="006179EA" w:rsidRDefault="006179EA" w:rsidP="006179EA">
      <w:r w:rsidRPr="006179EA">
        <w:t xml:space="preserve">Deployment friction is minimized with pre-hardened OCI images that already </w:t>
      </w:r>
      <w:r w:rsidR="002E47DF">
        <w:t>meet the requirements of</w:t>
      </w:r>
      <w:r w:rsidRPr="006179EA">
        <w:t xml:space="preserve"> the DoD Container Hardening Guide. Each image ships with SCAP benchmark content, an SBOM that survives ACAS scans, and </w:t>
      </w:r>
      <w:proofErr w:type="spellStart"/>
      <w:r w:rsidRPr="006179EA">
        <w:t>IaC</w:t>
      </w:r>
      <w:proofErr w:type="spellEnd"/>
      <w:r w:rsidRPr="006179EA">
        <w:t xml:space="preserve"> blueprints suitable for </w:t>
      </w:r>
      <w:r>
        <w:t>“</w:t>
      </w:r>
      <w:r w:rsidRPr="006179EA">
        <w:t>platform</w:t>
      </w:r>
      <w:r>
        <w:t xml:space="preserve"> </w:t>
      </w:r>
      <w:r w:rsidRPr="006179EA">
        <w:t>one</w:t>
      </w:r>
      <w:r>
        <w:t xml:space="preserve">” </w:t>
      </w:r>
      <w:r w:rsidRPr="006179EA">
        <w:t xml:space="preserve">style pipelines or bare-metal clusters. By importing these artifacts into Iron Bank or a similar repository, program offices can </w:t>
      </w:r>
      <w:r w:rsidR="002E47DF">
        <w:t>reduce the Authority to Operate (ATO) timeline by several months</w:t>
      </w:r>
      <w:r w:rsidRPr="006179EA">
        <w:t>.</w:t>
      </w:r>
    </w:p>
    <w:p w14:paraId="2E706C44" w14:textId="76EC6462" w:rsidR="006179EA" w:rsidRPr="006179EA" w:rsidRDefault="006179EA" w:rsidP="006179EA">
      <w:r w:rsidRPr="006179EA">
        <w:t>Early proof</w:t>
      </w:r>
      <w:r>
        <w:t xml:space="preserve"> </w:t>
      </w:r>
      <w:r w:rsidRPr="006179EA">
        <w:t>of</w:t>
      </w:r>
      <w:r>
        <w:t xml:space="preserve"> </w:t>
      </w:r>
      <w:r w:rsidRPr="006179EA">
        <w:t xml:space="preserve">concept exercises in a </w:t>
      </w:r>
      <w:r>
        <w:t>Planetary Systems AI</w:t>
      </w:r>
      <w:r w:rsidRPr="006179EA">
        <w:t xml:space="preserve"> test environment</w:t>
      </w:r>
      <w:r>
        <w:t xml:space="preserve"> </w:t>
      </w:r>
      <w:r w:rsidRPr="006179EA">
        <w:t>conducted under laboratory conditions, not in live operational theaters</w:t>
      </w:r>
      <w:r>
        <w:t xml:space="preserve"> </w:t>
      </w:r>
      <w:r w:rsidRPr="006179EA">
        <w:t>demonstrated a 30</w:t>
      </w:r>
      <w:r>
        <w:t xml:space="preserve"> </w:t>
      </w:r>
      <w:r w:rsidRPr="006179EA">
        <w:t>plus</w:t>
      </w:r>
      <w:r>
        <w:t xml:space="preserve"> </w:t>
      </w:r>
      <w:r w:rsidRPr="006179EA">
        <w:t>percent acceleration in incident triage and logged no critical findings in follow</w:t>
      </w:r>
      <w:r>
        <w:t xml:space="preserve"> </w:t>
      </w:r>
      <w:r w:rsidRPr="006179EA">
        <w:t>up red</w:t>
      </w:r>
      <w:r>
        <w:t xml:space="preserve"> </w:t>
      </w:r>
      <w:r w:rsidRPr="006179EA">
        <w:t xml:space="preserve">team probes. While these results are preliminary and not part of an official fielding effort, they </w:t>
      </w:r>
      <w:r w:rsidR="002E47DF">
        <w:t xml:space="preserve">demonstrate the attainable gains that can be achieved </w:t>
      </w:r>
      <w:r w:rsidRPr="006179EA">
        <w:t>when inference, policy enforcement, and credential rotation are integrated from the outset.</w:t>
      </w:r>
    </w:p>
    <w:p w14:paraId="29F63203" w14:textId="51A98DE2" w:rsidR="006179EA" w:rsidRPr="006179EA" w:rsidRDefault="006179EA" w:rsidP="006179EA">
      <w:r w:rsidRPr="006179EA">
        <w:t>Leaders therefore have a clear playbook: position an MCP proxy as the single choke point, demand short-lived keys for every call, run GPT-class models on enclave GPUs, and ship only containers that have already passed STIG/SCAP hygiene. The approach is technically modest yet strategically decisive</w:t>
      </w:r>
      <w:r w:rsidR="00D41F9B">
        <w:t xml:space="preserve">, </w:t>
      </w:r>
      <w:r w:rsidRPr="006179EA">
        <w:t>delivering AI speed without gifting adversaries a new beachhead.</w:t>
      </w:r>
    </w:p>
    <w:p w14:paraId="5DB77581" w14:textId="26842A20" w:rsidR="00D41F9B" w:rsidRDefault="006179EA" w:rsidP="006179EA">
      <w:r w:rsidRPr="006179EA">
        <w:rPr>
          <w:b/>
          <w:bCs/>
        </w:rPr>
        <w:t>Conclusion</w:t>
      </w:r>
      <w:r w:rsidRPr="006179EA">
        <w:br/>
      </w:r>
      <w:r w:rsidR="00D41F9B" w:rsidRPr="00D41F9B">
        <w:t>Zero</w:t>
      </w:r>
      <w:r w:rsidR="00D41F9B">
        <w:t xml:space="preserve"> </w:t>
      </w:r>
      <w:r w:rsidR="00D41F9B" w:rsidRPr="00D41F9B">
        <w:t xml:space="preserve">distance AI </w:t>
      </w:r>
      <w:r w:rsidR="00D41F9B">
        <w:t xml:space="preserve">(ZD-AI) </w:t>
      </w:r>
      <w:r w:rsidR="00D41F9B" w:rsidRPr="00D41F9B">
        <w:t xml:space="preserve">turns the LLM from a remote convenience into an </w:t>
      </w:r>
      <w:proofErr w:type="gramStart"/>
      <w:r w:rsidR="00D41F9B" w:rsidRPr="00D41F9B">
        <w:t>on-premise</w:t>
      </w:r>
      <w:proofErr w:type="gramEnd"/>
      <w:r w:rsidR="00D41F9B" w:rsidRPr="00D41F9B">
        <w:t xml:space="preserve"> force multiplier. By chaining an MCP proxy, </w:t>
      </w:r>
      <w:r w:rsidR="002E47DF">
        <w:t>forcing key “</w:t>
      </w:r>
      <w:proofErr w:type="spellStart"/>
      <w:r w:rsidR="002E47DF">
        <w:t>sudo</w:t>
      </w:r>
      <w:proofErr w:type="spellEnd"/>
      <w:r w:rsidR="002E47DF">
        <w:t xml:space="preserve">,” and a sentinel guardrail in front of enclave-hosted models, and then packaging the stack in STIG-compliant containers, defense organizations gain three strategic wins at once: latency is slashed to tactical relevance, data is confined to classified networks, and accreditation is </w:t>
      </w:r>
      <w:r w:rsidR="00D41F9B" w:rsidRPr="00D41F9B">
        <w:rPr>
          <w:b/>
          <w:bCs/>
        </w:rPr>
        <w:t>streamlined to existing RMF rails</w:t>
      </w:r>
      <w:r w:rsidR="00D41F9B" w:rsidRPr="00D41F9B">
        <w:t xml:space="preserve">. In a world where milliseconds shape outcomes and leaks shape headlines, this architecture </w:t>
      </w:r>
      <w:r w:rsidR="002E47DF">
        <w:t>provides commanders with an immediate, defensible path to leveraging AI without giving</w:t>
      </w:r>
      <w:r w:rsidR="00D41F9B" w:rsidRPr="00D41F9B">
        <w:t xml:space="preserve"> adversaries a new beachhead.</w:t>
      </w:r>
    </w:p>
    <w:p w14:paraId="2FFC5CC2" w14:textId="10F64F58" w:rsidR="006179EA" w:rsidRPr="006179EA" w:rsidRDefault="00D41F9B" w:rsidP="006179EA">
      <w:r>
        <w:rPr>
          <w:b/>
          <w:bCs/>
        </w:rPr>
        <w:lastRenderedPageBreak/>
        <w:t>K</w:t>
      </w:r>
      <w:r w:rsidR="006179EA" w:rsidRPr="006179EA">
        <w:rPr>
          <w:b/>
          <w:bCs/>
        </w:rPr>
        <w:t>eyword</w:t>
      </w:r>
      <w:r>
        <w:rPr>
          <w:b/>
          <w:bCs/>
        </w:rPr>
        <w:t>s</w:t>
      </w:r>
      <w:r w:rsidR="006179EA" w:rsidRPr="006179EA">
        <w:rPr>
          <w:b/>
          <w:bCs/>
        </w:rPr>
        <w:t xml:space="preserve"> </w:t>
      </w:r>
      <w:r w:rsidR="006179EA" w:rsidRPr="006179EA">
        <w:br/>
        <w:t>Model Context Protocol (MCP); zero-distance AI</w:t>
      </w:r>
      <w:r>
        <w:t xml:space="preserve"> (ZD-AI)</w:t>
      </w:r>
      <w:r w:rsidR="006179EA" w:rsidRPr="006179EA">
        <w:t xml:space="preserve">; forced keys; JWT rotation; enclave inference; zero trust; STIG; SCAP; ACAS; Iron Bank; Llama-3; Mistral; sentinel guardrail; edge AI; IL-6; data-spill mitigation; latency reduction; </w:t>
      </w:r>
      <w:r w:rsidR="002E47DF">
        <w:t>Planetary Systems AI</w:t>
      </w:r>
      <w:r w:rsidR="006179EA" w:rsidRPr="006179EA">
        <w:t>; ATO acceleration; OCI hardened images.</w:t>
      </w:r>
    </w:p>
    <w:p w14:paraId="7F7F5038" w14:textId="0002C129" w:rsidR="006179EA" w:rsidRPr="006179EA" w:rsidRDefault="006179EA" w:rsidP="006179EA">
      <w:pPr>
        <w:rPr>
          <w:b/>
          <w:bCs/>
        </w:rPr>
      </w:pPr>
      <w:r w:rsidRPr="006179EA">
        <w:rPr>
          <w:b/>
          <w:bCs/>
        </w:rPr>
        <w:t xml:space="preserve">Executive summary </w:t>
      </w:r>
    </w:p>
    <w:p w14:paraId="075C8E05" w14:textId="579891C6" w:rsidR="00D41F9B" w:rsidRPr="00D41F9B" w:rsidRDefault="00D41F9B" w:rsidP="00D41F9B">
      <w:r w:rsidRPr="00D41F9B">
        <w:t>Public</w:t>
      </w:r>
      <w:r>
        <w:t xml:space="preserve"> </w:t>
      </w:r>
      <w:r w:rsidRPr="00D41F9B">
        <w:t xml:space="preserve">cloud language models give dazzling answers but at a cost the Department of Defense cannot afford: every API call leaks timing and metadata to commercial servers and injects half-second delays into kill-chain decisions. </w:t>
      </w:r>
      <w:r w:rsidRPr="00D41F9B">
        <w:rPr>
          <w:b/>
          <w:bCs/>
        </w:rPr>
        <w:t>Zero-distance AI</w:t>
      </w:r>
      <w:r>
        <w:rPr>
          <w:b/>
          <w:bCs/>
        </w:rPr>
        <w:t xml:space="preserve"> (ZD-AI)</w:t>
      </w:r>
      <w:r w:rsidRPr="00D41F9B">
        <w:t xml:space="preserve"> fixes both by running GPT-class models entirely inside IL-5/IL-6 enclaves and wrapping them with four mutually reinforcing controls.</w:t>
      </w:r>
    </w:p>
    <w:p w14:paraId="04C10480" w14:textId="7E4E3B12" w:rsidR="00D41F9B" w:rsidRPr="00D41F9B" w:rsidRDefault="00D41F9B" w:rsidP="00D41F9B">
      <w:pPr>
        <w:numPr>
          <w:ilvl w:val="0"/>
          <w:numId w:val="2"/>
        </w:numPr>
      </w:pPr>
      <w:r w:rsidRPr="00D41F9B">
        <w:rPr>
          <w:b/>
          <w:bCs/>
        </w:rPr>
        <w:t>MCP proxy on a secure node</w:t>
      </w:r>
      <w:r>
        <w:t>:</w:t>
      </w:r>
      <w:r w:rsidRPr="00D41F9B">
        <w:t xml:space="preserve"> All prompts flow through a Model Context Protocol broker that strips excess context, binds roles, and logs an immutable chain of custody while shielding user devices from direct model contact.</w:t>
      </w:r>
    </w:p>
    <w:p w14:paraId="7BD65C31" w14:textId="6CA86674" w:rsidR="00D41F9B" w:rsidRPr="00D41F9B" w:rsidRDefault="00D41F9B" w:rsidP="00D41F9B">
      <w:pPr>
        <w:numPr>
          <w:ilvl w:val="0"/>
          <w:numId w:val="2"/>
        </w:numPr>
      </w:pPr>
      <w:r w:rsidRPr="00D41F9B">
        <w:rPr>
          <w:b/>
          <w:bCs/>
        </w:rPr>
        <w:t>Forced, short-lived keys</w:t>
      </w:r>
      <w:r>
        <w:t>:</w:t>
      </w:r>
      <w:r w:rsidRPr="00D41F9B">
        <w:t xml:space="preserve"> Each call must carry a JSON Web Token minted by an internal CA and valid for minutes. The proxy treats the token as a cryptographic “</w:t>
      </w:r>
      <w:proofErr w:type="spellStart"/>
      <w:r w:rsidRPr="00D41F9B">
        <w:t>sudo</w:t>
      </w:r>
      <w:proofErr w:type="spellEnd"/>
      <w:r w:rsidRPr="00D41F9B">
        <w:t>,” so stolen credentials expire before an adversary can pivot.</w:t>
      </w:r>
    </w:p>
    <w:p w14:paraId="699BBEC2" w14:textId="024ABFC1" w:rsidR="00D41F9B" w:rsidRPr="00D41F9B" w:rsidRDefault="00D41F9B" w:rsidP="00D41F9B">
      <w:pPr>
        <w:numPr>
          <w:ilvl w:val="0"/>
          <w:numId w:val="2"/>
        </w:numPr>
      </w:pPr>
      <w:r w:rsidRPr="00D41F9B">
        <w:rPr>
          <w:b/>
          <w:bCs/>
        </w:rPr>
        <w:t>Sentinel guardrail model</w:t>
      </w:r>
      <w:r>
        <w:t xml:space="preserve">: </w:t>
      </w:r>
      <w:r w:rsidRPr="00D41F9B">
        <w:t xml:space="preserve">A lightweight, non-generative “sentinel” LLM inspects every prompt and completion for jailbreak strings, steganographic exfiltration, or OPSEC violations. Only traffic that earns a </w:t>
      </w:r>
      <w:r>
        <w:t xml:space="preserve">“go” </w:t>
      </w:r>
      <w:r w:rsidRPr="00D41F9B">
        <w:t>verdict reaches the generative model, converting prompt-injection defense from policy to code.</w:t>
      </w:r>
      <w:r>
        <w:t xml:space="preserve"> Giving a</w:t>
      </w:r>
      <w:r w:rsidRPr="00D41F9B">
        <w:t xml:space="preserve"> </w:t>
      </w:r>
      <w:r>
        <w:t>l</w:t>
      </w:r>
      <w:r w:rsidRPr="00D41F9B">
        <w:t>atency overhead</w:t>
      </w:r>
      <w:r>
        <w:t xml:space="preserve"> of</w:t>
      </w:r>
      <w:r w:rsidRPr="00D41F9B">
        <w:t xml:space="preserve"> 4 </w:t>
      </w:r>
      <w:proofErr w:type="spellStart"/>
      <w:r w:rsidRPr="00D41F9B">
        <w:t>ms.</w:t>
      </w:r>
      <w:proofErr w:type="spellEnd"/>
    </w:p>
    <w:p w14:paraId="16F1F52A" w14:textId="343F6B43" w:rsidR="00D41F9B" w:rsidRPr="00D41F9B" w:rsidRDefault="00D41F9B" w:rsidP="00D41F9B">
      <w:pPr>
        <w:numPr>
          <w:ilvl w:val="0"/>
          <w:numId w:val="2"/>
        </w:numPr>
      </w:pPr>
      <w:r w:rsidRPr="00D41F9B">
        <w:rPr>
          <w:b/>
          <w:bCs/>
        </w:rPr>
        <w:t>STIG-ready containers for local models</w:t>
      </w:r>
      <w:r>
        <w:t xml:space="preserve">: </w:t>
      </w:r>
      <w:proofErr w:type="spellStart"/>
      <w:r w:rsidRPr="00D41F9B">
        <w:t>Fine</w:t>
      </w:r>
      <w:r>
        <w:t xml:space="preserve"> </w:t>
      </w:r>
      <w:r w:rsidRPr="00D41F9B">
        <w:t>tuned</w:t>
      </w:r>
      <w:proofErr w:type="spellEnd"/>
      <w:r w:rsidRPr="00D41F9B">
        <w:t xml:space="preserve"> open</w:t>
      </w:r>
      <w:r>
        <w:t xml:space="preserve"> </w:t>
      </w:r>
      <w:r w:rsidRPr="00D41F9B">
        <w:t>weights models such as Llama-3-70B achieve 94 % of GPT-4 accuracy while operating 10× faster and 95 % cheaper. Containers ship with SCAP data and pass ACAS scans out of the box, collapsing Authority</w:t>
      </w:r>
      <w:r>
        <w:t xml:space="preserve"> </w:t>
      </w:r>
      <w:r w:rsidRPr="00D41F9B">
        <w:t>to</w:t>
      </w:r>
      <w:r>
        <w:t xml:space="preserve"> </w:t>
      </w:r>
      <w:r w:rsidRPr="00D41F9B">
        <w:t>Operate timelines from quarters to weeks.</w:t>
      </w:r>
    </w:p>
    <w:p w14:paraId="54CF1AB9" w14:textId="08AB02F8" w:rsidR="006179EA" w:rsidRDefault="00D41F9B">
      <w:r w:rsidRPr="00D41F9B">
        <w:t xml:space="preserve">Laboratory pilots (representative workloads, unclassified data) </w:t>
      </w:r>
      <w:r w:rsidR="002E47DF">
        <w:t xml:space="preserve">demonstrate a median latency reduction from 650 </w:t>
      </w:r>
      <w:proofErr w:type="spellStart"/>
      <w:r w:rsidR="002E47DF">
        <w:t>ms</w:t>
      </w:r>
      <w:proofErr w:type="spellEnd"/>
      <w:r w:rsidR="002E47DF">
        <w:t xml:space="preserve"> to 60 </w:t>
      </w:r>
      <w:proofErr w:type="spellStart"/>
      <w:r w:rsidR="002E47DF">
        <w:t>ms</w:t>
      </w:r>
      <w:proofErr w:type="spellEnd"/>
      <w:r w:rsidR="002E47DF">
        <w:t xml:space="preserve">, with incident-response cycles accelerating by over 30 percent, and no critical findings in the </w:t>
      </w:r>
      <w:r w:rsidRPr="00D41F9B">
        <w:t>red-team validation. For CISOs, CTOs, and commanders, the message is clear</w:t>
      </w:r>
      <w:r w:rsidRPr="00D41F9B">
        <w:rPr>
          <w:i/>
          <w:iCs/>
        </w:rPr>
        <w:t>: high-performance AI can be fielded today without surrendering data or tempo. Implement the MCP proxy as the single choke point, demand forced-key rotation, interpose a sentinel guardrail, and deploy only hardened containers</w:t>
      </w:r>
      <w:r w:rsidRPr="00D41F9B">
        <w:t>. The result is sub</w:t>
      </w:r>
      <w:r>
        <w:t xml:space="preserve"> </w:t>
      </w:r>
      <w:r w:rsidRPr="00D41F9B">
        <w:t>100 ms answers, cryptographic provenance, and AI power that stays inside the wire.</w:t>
      </w:r>
    </w:p>
    <w:sectPr w:rsidR="00617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026F9F"/>
    <w:multiLevelType w:val="multilevel"/>
    <w:tmpl w:val="E1A62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3974DE"/>
    <w:multiLevelType w:val="multilevel"/>
    <w:tmpl w:val="5854F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2624658">
    <w:abstractNumId w:val="0"/>
  </w:num>
  <w:num w:numId="2" w16cid:durableId="2066179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9EA"/>
    <w:rsid w:val="002E47DF"/>
    <w:rsid w:val="006179EA"/>
    <w:rsid w:val="00935224"/>
    <w:rsid w:val="00D4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B1D86E"/>
  <w15:chartTrackingRefBased/>
  <w15:docId w15:val="{4C210F98-CCAD-4738-9502-B7817672A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9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7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9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9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9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9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9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9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9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9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79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79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9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9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9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9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9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9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79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9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79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79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9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79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79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9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9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79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61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1161</Words>
  <Characters>6614</Characters>
  <Application>Microsoft Office Word</Application>
  <DocSecurity>0</DocSecurity>
  <Lines>103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Aquariouse Workman</dc:creator>
  <cp:keywords/>
  <dc:description/>
  <cp:lastModifiedBy>Aquariouse Workman</cp:lastModifiedBy>
  <cp:revision>1</cp:revision>
  <dcterms:created xsi:type="dcterms:W3CDTF">2025-06-26T14:34:00Z</dcterms:created>
  <dcterms:modified xsi:type="dcterms:W3CDTF">2025-06-26T15:04:00Z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2c030928-f7a3-438b-8bec-fc31280a307e</vt:lpwstr>
  </property>
</Properties>
</file>