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计算机操作系统复习题：</w:t>
      </w:r>
    </w:p>
    <w:p>
      <w:pPr>
        <w:numPr>
          <w:ilvl w:val="0"/>
          <w:numId w:val="1"/>
        </w:numPr>
        <w:rPr>
          <w:rFonts w:hint="eastAsia"/>
          <w:lang w:val="en-US" w:eastAsia="zh-Hans"/>
        </w:rPr>
      </w:pPr>
      <w:r>
        <w:rPr>
          <w:rFonts w:hint="eastAsia"/>
          <w:lang w:val="en-US" w:eastAsia="zh-Hans"/>
        </w:rPr>
        <w:t>单选</w:t>
      </w:r>
    </w:p>
    <w:p>
      <w:pPr>
        <w:numPr>
          <w:ilvl w:val="0"/>
          <w:numId w:val="2"/>
        </w:numPr>
        <w:rPr>
          <w:rFonts w:hint="eastAsia"/>
          <w:lang w:val="en-US" w:eastAsia="zh-Hans"/>
        </w:rPr>
      </w:pPr>
      <w:r>
        <w:rPr>
          <w:rFonts w:hint="eastAsia"/>
          <w:lang w:val="en-US" w:eastAsia="zh-Hans"/>
        </w:rPr>
        <w:t>A交互式分时操作系统</w:t>
      </w:r>
    </w:p>
    <w:p>
      <w:pPr>
        <w:numPr>
          <w:ilvl w:val="0"/>
          <w:numId w:val="2"/>
        </w:numPr>
        <w:rPr>
          <w:rFonts w:hint="eastAsia"/>
          <w:lang w:eastAsia="zh-Hans"/>
        </w:rPr>
      </w:pPr>
      <w:r>
        <w:rPr>
          <w:rFonts w:hint="eastAsia"/>
          <w:lang w:val="en-US" w:eastAsia="zh-Hans"/>
        </w:rPr>
        <w:t>C从管态转换成目态</w:t>
      </w:r>
    </w:p>
    <w:p>
      <w:pPr>
        <w:numPr>
          <w:ilvl w:val="0"/>
          <w:numId w:val="2"/>
        </w:numPr>
        <w:rPr>
          <w:rFonts w:hint="eastAsia"/>
          <w:lang w:eastAsia="zh-Hans"/>
        </w:rPr>
      </w:pPr>
      <w:r>
        <w:rPr>
          <w:rFonts w:hint="eastAsia"/>
          <w:lang w:val="en-US" w:eastAsia="zh-Hans"/>
        </w:rPr>
        <w:t>B</w:t>
      </w:r>
      <w:r>
        <w:rPr>
          <w:rFonts w:hint="default"/>
          <w:lang w:eastAsia="zh-Hans"/>
        </w:rPr>
        <w:t xml:space="preserve"> </w:t>
      </w:r>
      <w:r>
        <w:rPr>
          <w:rFonts w:hint="eastAsia"/>
          <w:lang w:val="en-US" w:eastAsia="zh-Hans"/>
        </w:rPr>
        <w:t>提高资源的利用率和正确描述程序的执行情况</w:t>
      </w:r>
    </w:p>
    <w:p>
      <w:pPr>
        <w:numPr>
          <w:ilvl w:val="0"/>
          <w:numId w:val="2"/>
        </w:numPr>
        <w:rPr>
          <w:rFonts w:hint="eastAsia"/>
          <w:lang w:eastAsia="zh-Hans"/>
        </w:rPr>
      </w:pPr>
      <w:r>
        <w:rPr>
          <w:rFonts w:hint="eastAsia"/>
          <w:lang w:val="en-US" w:eastAsia="zh-Hans"/>
        </w:rPr>
        <w:t>D辅助存储器</w:t>
      </w:r>
    </w:p>
    <w:p>
      <w:pPr>
        <w:numPr>
          <w:ilvl w:val="0"/>
          <w:numId w:val="2"/>
        </w:numPr>
        <w:rPr>
          <w:rFonts w:hint="eastAsia"/>
          <w:lang w:eastAsia="zh-Hans"/>
        </w:rPr>
      </w:pPr>
      <w:r>
        <w:rPr>
          <w:rFonts w:hint="eastAsia"/>
          <w:lang w:val="en-US" w:eastAsia="zh-Hans"/>
        </w:rPr>
        <w:t>C主存储器中</w:t>
      </w:r>
    </w:p>
    <w:p>
      <w:pPr>
        <w:widowControl w:val="0"/>
        <w:numPr>
          <w:numId w:val="0"/>
        </w:numPr>
        <w:jc w:val="both"/>
        <w:rPr>
          <w:rFonts w:hint="default"/>
          <w:lang w:eastAsia="zh-Hans"/>
        </w:rPr>
      </w:pPr>
      <w:r>
        <w:rPr>
          <w:rFonts w:hint="default"/>
          <w:lang w:eastAsia="zh-Hans"/>
        </w:rPr>
        <w:t>6.</w:t>
      </w:r>
    </w:p>
    <w:p>
      <w:pPr>
        <w:widowControl w:val="0"/>
        <w:numPr>
          <w:ilvl w:val="0"/>
          <w:numId w:val="3"/>
        </w:numPr>
        <w:jc w:val="both"/>
        <w:rPr>
          <w:rFonts w:hint="eastAsia"/>
          <w:lang w:val="en-US" w:eastAsia="zh-Hans"/>
        </w:rPr>
      </w:pPr>
      <w:r>
        <w:rPr>
          <w:rFonts w:hint="eastAsia"/>
          <w:lang w:val="en-US" w:eastAsia="zh-Hans"/>
        </w:rPr>
        <w:t>D决定问价在主存储器中的起始位置</w:t>
      </w:r>
    </w:p>
    <w:p>
      <w:pPr>
        <w:widowControl w:val="0"/>
        <w:numPr>
          <w:ilvl w:val="0"/>
          <w:numId w:val="3"/>
        </w:numPr>
        <w:jc w:val="both"/>
        <w:rPr>
          <w:rFonts w:hint="eastAsia"/>
          <w:lang w:eastAsia="zh-Hans"/>
        </w:rPr>
      </w:pPr>
      <w:r>
        <w:rPr>
          <w:rFonts w:hint="eastAsia"/>
          <w:lang w:val="en-US" w:eastAsia="zh-Hans"/>
        </w:rPr>
        <w:t>D用户可不考虑设备的物理特性</w:t>
      </w:r>
    </w:p>
    <w:p>
      <w:pPr>
        <w:widowControl w:val="0"/>
        <w:numPr>
          <w:ilvl w:val="0"/>
          <w:numId w:val="3"/>
        </w:numPr>
        <w:jc w:val="both"/>
        <w:rPr>
          <w:rFonts w:hint="eastAsia"/>
          <w:lang w:eastAsia="zh-Hans"/>
        </w:rPr>
      </w:pPr>
      <w:r>
        <w:rPr>
          <w:rFonts w:hint="eastAsia"/>
          <w:lang w:val="en-US" w:eastAsia="zh-Hans"/>
        </w:rPr>
        <w:t>B</w:t>
      </w:r>
      <w:r>
        <w:rPr>
          <w:rFonts w:hint="default"/>
          <w:lang w:eastAsia="zh-Hans"/>
        </w:rPr>
        <w:t xml:space="preserve"> -- PCB</w:t>
      </w:r>
    </w:p>
    <w:p>
      <w:pPr>
        <w:widowControl w:val="0"/>
        <w:numPr>
          <w:ilvl w:val="0"/>
          <w:numId w:val="3"/>
        </w:numPr>
        <w:jc w:val="both"/>
        <w:rPr>
          <w:rFonts w:hint="eastAsia"/>
          <w:lang w:eastAsia="zh-Hans"/>
        </w:rPr>
      </w:pPr>
      <w:r>
        <w:rPr>
          <w:rFonts w:hint="eastAsia"/>
          <w:lang w:val="en-US" w:eastAsia="zh-Hans"/>
        </w:rPr>
        <w:t>B</w:t>
      </w:r>
      <w:r>
        <w:rPr>
          <w:rFonts w:hint="default"/>
          <w:lang w:eastAsia="zh-Hans"/>
        </w:rPr>
        <w:t xml:space="preserve"> 2</w:t>
      </w:r>
      <w:r>
        <w:rPr>
          <w:rFonts w:hint="eastAsia"/>
          <w:lang w:val="en-US" w:eastAsia="zh-Hans"/>
        </w:rPr>
        <w:t>个</w:t>
      </w:r>
    </w:p>
    <w:p>
      <w:pPr>
        <w:widowControl w:val="0"/>
        <w:numPr>
          <w:ilvl w:val="0"/>
          <w:numId w:val="3"/>
        </w:numPr>
        <w:jc w:val="both"/>
        <w:rPr>
          <w:rFonts w:hint="eastAsia"/>
          <w:lang w:eastAsia="zh-Hans"/>
        </w:rPr>
      </w:pPr>
      <w:r>
        <w:rPr>
          <w:rFonts w:hint="default"/>
          <w:lang w:eastAsia="zh-Hans"/>
        </w:rPr>
        <w:t>D</w:t>
      </w:r>
      <w:r>
        <w:rPr>
          <w:rFonts w:hint="eastAsia"/>
          <w:lang w:val="en-US" w:eastAsia="zh-Hans"/>
        </w:rPr>
        <w:t>允许多个作业同时使用不同的外围设备</w:t>
      </w:r>
    </w:p>
    <w:p>
      <w:pPr>
        <w:widowControl w:val="0"/>
        <w:numPr>
          <w:ilvl w:val="0"/>
          <w:numId w:val="3"/>
        </w:numPr>
        <w:jc w:val="both"/>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访管指令</w:t>
      </w:r>
    </w:p>
    <w:p>
      <w:pPr>
        <w:widowControl w:val="0"/>
        <w:numPr>
          <w:ilvl w:val="0"/>
          <w:numId w:val="3"/>
        </w:numPr>
        <w:jc w:val="both"/>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资源位置透明</w:t>
      </w:r>
    </w:p>
    <w:p>
      <w:pPr>
        <w:widowControl w:val="0"/>
        <w:numPr>
          <w:ilvl w:val="0"/>
          <w:numId w:val="3"/>
        </w:numPr>
        <w:jc w:val="both"/>
        <w:rPr>
          <w:rFonts w:hint="eastAsia"/>
          <w:lang w:eastAsia="zh-Hans"/>
        </w:rPr>
      </w:pPr>
      <w:r>
        <w:rPr>
          <w:rFonts w:hint="eastAsia"/>
          <w:lang w:val="en-US" w:eastAsia="zh-Hans"/>
        </w:rPr>
        <w:t>A</w:t>
      </w:r>
      <w:r>
        <w:rPr>
          <w:rFonts w:hint="default"/>
          <w:lang w:eastAsia="zh-Hans"/>
        </w:rPr>
        <w:t xml:space="preserve"> </w:t>
      </w:r>
      <w:r>
        <w:rPr>
          <w:rFonts w:hint="eastAsia"/>
          <w:lang w:val="en-US" w:eastAsia="zh-Hans"/>
        </w:rPr>
        <w:t>就绪态到运行态、等待态到就绪态、运行态到等待态</w:t>
      </w:r>
    </w:p>
    <w:p>
      <w:pPr>
        <w:widowControl w:val="0"/>
        <w:numPr>
          <w:ilvl w:val="0"/>
          <w:numId w:val="3"/>
        </w:numPr>
        <w:jc w:val="both"/>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主存储器</w:t>
      </w:r>
    </w:p>
    <w:p>
      <w:pPr>
        <w:widowControl w:val="0"/>
        <w:numPr>
          <w:ilvl w:val="0"/>
          <w:numId w:val="3"/>
        </w:numPr>
        <w:jc w:val="both"/>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逻辑上具有完整意义的信息集合</w:t>
      </w:r>
    </w:p>
    <w:p>
      <w:pPr>
        <w:widowControl w:val="0"/>
        <w:numPr>
          <w:ilvl w:val="0"/>
          <w:numId w:val="4"/>
        </w:numPr>
        <w:jc w:val="both"/>
        <w:rPr>
          <w:rFonts w:hint="eastAsia"/>
          <w:lang w:val="en-US" w:eastAsia="zh-Hans"/>
        </w:rPr>
      </w:pPr>
      <w:r>
        <w:rPr>
          <w:rFonts w:hint="eastAsia"/>
          <w:lang w:val="en-US" w:eastAsia="zh-Hans"/>
        </w:rPr>
        <w:t>多项选择</w:t>
      </w:r>
    </w:p>
    <w:p>
      <w:pPr>
        <w:widowControl w:val="0"/>
        <w:numPr>
          <w:numId w:val="0"/>
        </w:numPr>
        <w:jc w:val="both"/>
        <w:rPr>
          <w:rFonts w:hint="eastAsia"/>
          <w:lang w:val="en-US" w:eastAsia="zh-Hans"/>
        </w:rPr>
      </w:pPr>
      <w:r>
        <w:rPr>
          <w:rFonts w:hint="default"/>
          <w:lang w:eastAsia="zh-Hans"/>
        </w:rPr>
        <w:t>1</w:t>
      </w:r>
      <w:r>
        <w:rPr>
          <w:rFonts w:hint="eastAsia"/>
          <w:lang w:val="en-US" w:eastAsia="zh-Hans"/>
        </w:rPr>
        <w:t>ABCE</w:t>
      </w:r>
      <w:r>
        <w:rPr>
          <w:rFonts w:hint="default"/>
          <w:lang w:eastAsia="zh-Hans"/>
        </w:rPr>
        <w:t xml:space="preserve">  2.</w:t>
      </w:r>
      <w:r>
        <w:rPr>
          <w:rFonts w:hint="eastAsia"/>
          <w:lang w:val="en-US" w:eastAsia="zh-Hans"/>
        </w:rPr>
        <w:t>AB</w:t>
      </w:r>
      <w:r>
        <w:rPr>
          <w:rFonts w:hint="default"/>
          <w:lang w:eastAsia="zh-Hans"/>
        </w:rPr>
        <w:t xml:space="preserve">  3.</w:t>
      </w:r>
      <w:r>
        <w:rPr>
          <w:rFonts w:hint="eastAsia"/>
          <w:lang w:val="en-US" w:eastAsia="zh-Hans"/>
        </w:rPr>
        <w:t>ABD</w:t>
      </w:r>
      <w:r>
        <w:rPr>
          <w:rFonts w:hint="default"/>
          <w:lang w:eastAsia="zh-Hans"/>
        </w:rPr>
        <w:t xml:space="preserve">  4. </w:t>
      </w:r>
      <w:r>
        <w:rPr>
          <w:rFonts w:hint="eastAsia"/>
          <w:lang w:val="en-US" w:eastAsia="zh-Hans"/>
        </w:rPr>
        <w:t>AB</w:t>
      </w:r>
    </w:p>
    <w:p>
      <w:pPr>
        <w:widowControl w:val="0"/>
        <w:numPr>
          <w:ilvl w:val="0"/>
          <w:numId w:val="4"/>
        </w:numPr>
        <w:jc w:val="both"/>
        <w:rPr>
          <w:rFonts w:hint="eastAsia"/>
          <w:lang w:val="en-US" w:eastAsia="zh-Hans"/>
        </w:rPr>
      </w:pPr>
      <w:r>
        <w:rPr>
          <w:rFonts w:hint="eastAsia"/>
          <w:lang w:val="en-US" w:eastAsia="zh-Hans"/>
        </w:rPr>
        <w:t>填空题</w:t>
      </w:r>
    </w:p>
    <w:p>
      <w:pPr>
        <w:widowControl w:val="0"/>
        <w:numPr>
          <w:ilvl w:val="0"/>
          <w:numId w:val="5"/>
        </w:numPr>
        <w:jc w:val="both"/>
        <w:rPr>
          <w:rFonts w:hint="eastAsia"/>
          <w:lang w:val="en-US" w:eastAsia="zh-Hans"/>
        </w:rPr>
      </w:pPr>
      <w:r>
        <w:rPr>
          <w:rFonts w:hint="eastAsia"/>
          <w:lang w:val="en-US" w:eastAsia="zh-Hans"/>
        </w:rPr>
        <w:t>通信</w:t>
      </w:r>
      <w:r>
        <w:rPr>
          <w:rFonts w:hint="default"/>
          <w:lang w:eastAsia="zh-Hans"/>
        </w:rPr>
        <w:t xml:space="preserve">              2.  </w:t>
      </w:r>
      <w:r>
        <w:rPr>
          <w:rFonts w:hint="eastAsia"/>
          <w:lang w:val="en-US" w:eastAsia="zh-Hans"/>
        </w:rPr>
        <w:t>异步性</w:t>
      </w:r>
      <w:r>
        <w:rPr>
          <w:rFonts w:hint="default"/>
          <w:lang w:eastAsia="zh-Hans"/>
        </w:rPr>
        <w:t xml:space="preserve">   3</w:t>
      </w:r>
      <w:r>
        <w:rPr>
          <w:rFonts w:hint="eastAsia"/>
          <w:lang w:eastAsia="zh-Hans"/>
        </w:rPr>
        <w:t>。</w:t>
      </w:r>
      <w:r>
        <w:rPr>
          <w:rFonts w:hint="eastAsia"/>
          <w:lang w:val="en-US" w:eastAsia="zh-Hans"/>
        </w:rPr>
        <w:t>重定位</w:t>
      </w:r>
      <w:r>
        <w:rPr>
          <w:rFonts w:hint="default"/>
          <w:lang w:eastAsia="zh-Hans"/>
        </w:rPr>
        <w:t xml:space="preserve">    4.  </w:t>
      </w:r>
      <w:r>
        <w:rPr>
          <w:rFonts w:hint="eastAsia"/>
          <w:lang w:val="en-US" w:eastAsia="zh-Hans"/>
        </w:rPr>
        <w:t>连续</w:t>
      </w:r>
    </w:p>
    <w:p>
      <w:pPr>
        <w:widowControl w:val="0"/>
        <w:numPr>
          <w:ilvl w:val="0"/>
          <w:numId w:val="6"/>
        </w:numPr>
        <w:jc w:val="both"/>
        <w:rPr>
          <w:rFonts w:hint="eastAsia"/>
          <w:lang w:val="en-US" w:eastAsia="zh-Hans"/>
        </w:rPr>
      </w:pPr>
      <w:r>
        <w:rPr>
          <w:rFonts w:hint="eastAsia"/>
          <w:lang w:val="en-US" w:eastAsia="zh-Hans"/>
        </w:rPr>
        <w:t>其他部件（</w:t>
      </w:r>
      <w:r>
        <w:rPr>
          <w:rFonts w:hint="default"/>
          <w:lang w:eastAsia="zh-Hans"/>
        </w:rPr>
        <w:t>CPU</w:t>
      </w:r>
      <w:r>
        <w:rPr>
          <w:rFonts w:hint="eastAsia"/>
          <w:lang w:val="en-US" w:eastAsia="zh-Hans"/>
        </w:rPr>
        <w:t>）</w:t>
      </w:r>
      <w:r>
        <w:rPr>
          <w:rFonts w:hint="default"/>
          <w:lang w:eastAsia="zh-Hans"/>
        </w:rPr>
        <w:t xml:space="preserve">  6.</w:t>
      </w:r>
      <w:r>
        <w:rPr>
          <w:rFonts w:hint="eastAsia"/>
          <w:lang w:val="en-US" w:eastAsia="zh-Hans"/>
        </w:rPr>
        <w:t>软件</w:t>
      </w:r>
      <w:r>
        <w:rPr>
          <w:rFonts w:hint="default"/>
          <w:lang w:eastAsia="zh-Hans"/>
        </w:rPr>
        <w:t xml:space="preserve">       7. </w:t>
      </w:r>
      <w:r>
        <w:rPr>
          <w:rFonts w:hint="eastAsia"/>
          <w:lang w:val="en-US" w:eastAsia="zh-Hans"/>
        </w:rPr>
        <w:t>制约</w:t>
      </w:r>
      <w:r>
        <w:rPr>
          <w:rFonts w:hint="default"/>
          <w:lang w:eastAsia="zh-Hans"/>
        </w:rPr>
        <w:t xml:space="preserve">      8.</w:t>
      </w:r>
      <w:r>
        <w:rPr>
          <w:rFonts w:hint="eastAsia"/>
          <w:lang w:val="en-US" w:eastAsia="zh-Hans"/>
        </w:rPr>
        <w:t>程序的执行</w:t>
      </w:r>
    </w:p>
    <w:p>
      <w:pPr>
        <w:widowControl w:val="0"/>
        <w:numPr>
          <w:ilvl w:val="0"/>
          <w:numId w:val="7"/>
        </w:numPr>
        <w:jc w:val="both"/>
        <w:rPr>
          <w:rFonts w:hint="eastAsia"/>
          <w:lang w:val="en-US" w:eastAsia="zh-Hans"/>
        </w:rPr>
      </w:pPr>
      <w:r>
        <w:rPr>
          <w:rFonts w:hint="eastAsia"/>
          <w:lang w:val="en-US" w:eastAsia="zh-Hans"/>
        </w:rPr>
        <w:t>简答题</w:t>
      </w:r>
    </w:p>
    <w:p>
      <w:pPr>
        <w:widowControl w:val="0"/>
        <w:numPr>
          <w:ilvl w:val="0"/>
          <w:numId w:val="8"/>
        </w:numPr>
        <w:jc w:val="both"/>
        <w:rPr>
          <w:rFonts w:hint="eastAsia"/>
          <w:lang w:val="en-US" w:eastAsia="zh-Hans"/>
        </w:rPr>
      </w:pPr>
      <w:r>
        <w:rPr>
          <w:rFonts w:hint="eastAsia"/>
          <w:lang w:val="en-US" w:eastAsia="zh-Hans"/>
        </w:rPr>
        <w:t>操作系统是管理系统资源、控制程序执行，改善人机界面，提供各种服务，合理组织计算机工作流程和为用户使用计算机提供良好运行环境的一种系统软件</w:t>
      </w:r>
    </w:p>
    <w:p>
      <w:pPr>
        <w:widowControl w:val="0"/>
        <w:numPr>
          <w:ilvl w:val="0"/>
          <w:numId w:val="8"/>
        </w:numPr>
        <w:jc w:val="both"/>
        <w:rPr>
          <w:rFonts w:hint="eastAsia"/>
          <w:lang w:eastAsia="zh-Hans"/>
        </w:rPr>
      </w:pPr>
      <w:r>
        <w:rPr>
          <w:rFonts w:hint="eastAsia"/>
          <w:lang w:val="en-US" w:eastAsia="zh-Hans"/>
        </w:rPr>
        <w:t>所谓”内部碎片“是指系统已经分配给用户使用，用户自没有用到的那部分存储空间。</w:t>
      </w:r>
    </w:p>
    <w:p>
      <w:pPr>
        <w:widowControl w:val="0"/>
        <w:numPr>
          <w:numId w:val="0"/>
        </w:numPr>
        <w:jc w:val="both"/>
        <w:rPr>
          <w:rFonts w:hint="eastAsia"/>
          <w:lang w:eastAsia="zh-Hans"/>
        </w:rPr>
      </w:pPr>
      <w:r>
        <w:rPr>
          <w:rFonts w:hint="eastAsia"/>
          <w:lang w:val="en-US" w:eastAsia="zh-Hans"/>
        </w:rPr>
        <w:t>所谓”外部碎片</w:t>
      </w:r>
      <w:r>
        <w:rPr>
          <w:rFonts w:hint="default"/>
          <w:lang w:eastAsia="zh-Hans"/>
        </w:rPr>
        <w:t>”</w:t>
      </w:r>
      <w:r>
        <w:rPr>
          <w:rFonts w:hint="eastAsia"/>
          <w:lang w:val="en-US" w:eastAsia="zh-Hans"/>
        </w:rPr>
        <w:t>是指系统无法把它分配出去供用户使用的那部分存储空间</w:t>
      </w:r>
    </w:p>
    <w:p>
      <w:pPr>
        <w:widowControl w:val="0"/>
        <w:numPr>
          <w:numId w:val="0"/>
        </w:numPr>
        <w:jc w:val="both"/>
        <w:rPr>
          <w:rFonts w:hint="eastAsia"/>
          <w:lang w:eastAsia="zh-Hans"/>
        </w:rPr>
      </w:pPr>
    </w:p>
    <w:p>
      <w:pPr>
        <w:widowControl w:val="0"/>
        <w:numPr>
          <w:ilvl w:val="0"/>
          <w:numId w:val="9"/>
        </w:numPr>
        <w:jc w:val="both"/>
        <w:rPr>
          <w:rFonts w:hint="eastAsia"/>
          <w:lang w:val="en-US" w:eastAsia="zh-Hans"/>
        </w:rPr>
      </w:pPr>
      <w:r>
        <w:rPr>
          <w:rFonts w:hint="eastAsia"/>
          <w:lang w:val="en-US" w:eastAsia="zh-Hans"/>
        </w:rPr>
        <w:t>应用题</w:t>
      </w:r>
    </w:p>
    <w:p>
      <w:pPr>
        <w:widowControl w:val="0"/>
        <w:numPr>
          <w:numId w:val="0"/>
        </w:numPr>
        <w:jc w:val="both"/>
        <w:rPr>
          <w:rFonts w:hint="default"/>
          <w:lang w:eastAsia="zh-Hans"/>
        </w:rPr>
      </w:pPr>
      <w:r>
        <w:rPr>
          <w:rFonts w:hint="default"/>
          <w:lang w:eastAsia="zh-Hans"/>
        </w:rPr>
        <w:t xml:space="preserve">2. </w:t>
      </w:r>
      <w:r>
        <w:rPr>
          <w:rFonts w:hint="eastAsia"/>
          <w:lang w:val="en-US" w:eastAsia="zh-Hans"/>
        </w:rPr>
        <w:t>两道程序运行时间：</w:t>
      </w:r>
    </w:p>
    <w:p>
      <w:pPr>
        <w:widowControl w:val="0"/>
        <w:numPr>
          <w:numId w:val="0"/>
        </w:numPr>
        <w:jc w:val="both"/>
      </w:pPr>
      <w:r>
        <w:drawing>
          <wp:inline distT="0" distB="0" distL="114300" distR="114300">
            <wp:extent cx="2306320" cy="138938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06320" cy="1389380"/>
                    </a:xfrm>
                    <a:prstGeom prst="rect">
                      <a:avLst/>
                    </a:prstGeom>
                    <a:noFill/>
                    <a:ln w="9525">
                      <a:noFill/>
                    </a:ln>
                  </pic:spPr>
                </pic:pic>
              </a:graphicData>
            </a:graphic>
          </wp:inline>
        </w:drawing>
      </w:r>
    </w:p>
    <w:p>
      <w:pPr>
        <w:widowControl w:val="0"/>
        <w:numPr>
          <w:ilvl w:val="0"/>
          <w:numId w:val="10"/>
        </w:numPr>
        <w:jc w:val="both"/>
        <w:rPr>
          <w:rFonts w:hint="eastAsia"/>
          <w:lang w:val="en-US" w:eastAsia="zh-Hans"/>
        </w:rPr>
      </w:pPr>
      <w:r>
        <w:rPr>
          <w:rFonts w:hint="eastAsia"/>
          <w:lang w:val="en-US" w:eastAsia="zh-Hans"/>
        </w:rPr>
        <w:t>作业调度</w:t>
      </w:r>
    </w:p>
    <w:p>
      <w:pPr>
        <w:bidi w:val="0"/>
      </w:pPr>
      <w:r>
        <w:rPr>
          <w:lang w:val="en-US" w:eastAsia="zh-CN"/>
        </w:rPr>
        <w:t>三个作业是在9.5时全部到达的。这时它们各自的响应比如下：</w:t>
      </w:r>
      <w:r>
        <w:rPr>
          <w:rFonts w:hint="default"/>
          <w:lang w:val="en-US" w:eastAsia="zh-CN"/>
        </w:rPr>
        <w:br w:type="textWrapping"/>
      </w:r>
      <w:r>
        <w:rPr>
          <w:rFonts w:hint="default"/>
          <w:lang w:val="en-US" w:eastAsia="zh-CN"/>
        </w:rPr>
        <w:t>   作业1的响应比=(9.5-8.8)/1.5=0.46</w:t>
      </w:r>
      <w:r>
        <w:rPr>
          <w:rFonts w:hint="default"/>
          <w:lang w:val="en-US" w:eastAsia="zh-CN"/>
        </w:rPr>
        <w:br w:type="textWrapping"/>
      </w:r>
      <w:r>
        <w:rPr>
          <w:rFonts w:hint="default"/>
          <w:lang w:val="en-US" w:eastAsia="zh-CN"/>
        </w:rPr>
        <w:t>   作业2的响应比=(9.5-9.0)/0.4=1.25</w:t>
      </w:r>
      <w:r>
        <w:rPr>
          <w:rFonts w:hint="default"/>
          <w:lang w:val="en-US" w:eastAsia="zh-CN"/>
        </w:rPr>
        <w:br w:type="textWrapping"/>
      </w:r>
      <w:r>
        <w:rPr>
          <w:rFonts w:hint="default"/>
          <w:lang w:val="en-US" w:eastAsia="zh-CN"/>
        </w:rPr>
        <w:t>   作业3的响应比=(9.5-9.5)/1.0=0</w:t>
      </w:r>
      <w:r>
        <w:rPr>
          <w:rFonts w:hint="default"/>
          <w:lang w:val="en-US" w:eastAsia="zh-CN"/>
        </w:rPr>
        <w:br w:type="textWrapping"/>
      </w:r>
      <w:r>
        <w:rPr>
          <w:rFonts w:hint="default"/>
          <w:lang w:val="en-US" w:eastAsia="zh-CN"/>
        </w:rPr>
        <w:t>   因此，最先应该调度作业2运行，因为它的响应比最高。它运行了0.4后完成，这时的时间是9.9。再计算作业1和3此时的响应比：</w:t>
      </w:r>
      <w:r>
        <w:rPr>
          <w:rFonts w:hint="default"/>
          <w:lang w:val="en-US" w:eastAsia="zh-CN"/>
        </w:rPr>
        <w:br w:type="textWrapping"/>
      </w:r>
      <w:r>
        <w:rPr>
          <w:rFonts w:hint="default"/>
          <w:lang w:val="en-US" w:eastAsia="zh-CN"/>
        </w:rPr>
        <w:t>   作业1的响应比=(9.9-8.8)/1.5=0.73</w:t>
      </w:r>
      <w:r>
        <w:rPr>
          <w:rFonts w:hint="default"/>
          <w:lang w:val="en-US" w:eastAsia="zh-CN"/>
        </w:rPr>
        <w:br w:type="textWrapping"/>
      </w:r>
      <w:r>
        <w:rPr>
          <w:rFonts w:hint="default"/>
          <w:lang w:val="en-US" w:eastAsia="zh-CN"/>
        </w:rPr>
        <w:t>   作业3的响应比=(9.9-9.5)/1.0=0.40</w:t>
      </w:r>
      <w:r>
        <w:rPr>
          <w:rFonts w:hint="default"/>
          <w:lang w:val="en-US" w:eastAsia="zh-CN"/>
        </w:rPr>
        <w:br w:type="textWrapping"/>
      </w:r>
      <w:r>
        <w:rPr>
          <w:rFonts w:hint="default"/>
          <w:lang w:val="en-US" w:eastAsia="zh-CN"/>
        </w:rPr>
        <w:t>   因此，第二个应该调度作业1运行，因为它的响应比最高。它运行了1.5后完成，这时的时间是11.4。第三个调度的是作业3，它运行了1.0后完成，这时的时间是12.4。整个实施过程如下。</w:t>
      </w:r>
      <w:r>
        <w:rPr>
          <w:rFonts w:hint="default"/>
          <w:lang w:val="en-US" w:eastAsia="zh-CN"/>
        </w:rPr>
        <w:br w:type="textWrapping"/>
      </w:r>
      <w:r>
        <w:rPr>
          <w:rFonts w:hint="default"/>
          <w:lang w:val="en-US" w:eastAsia="zh-CN"/>
        </w:rPr>
        <w:t>   </w:t>
      </w:r>
    </w:p>
    <w:tbl>
      <w:tblPr>
        <w:tblW w:w="0" w:type="dxa"/>
        <w:tblInd w:w="0" w:type="dxa"/>
        <w:shd w:val="clear" w:color="auto" w:fill="FFFFFF"/>
        <w:tblLayout w:type="autofit"/>
        <w:tblCellMar>
          <w:top w:w="15" w:type="dxa"/>
          <w:left w:w="15" w:type="dxa"/>
          <w:bottom w:w="15" w:type="dxa"/>
          <w:right w:w="15" w:type="dxa"/>
        </w:tblCellMar>
      </w:tblPr>
      <w:tblGrid>
        <w:gridCol w:w="449"/>
        <w:gridCol w:w="603"/>
        <w:gridCol w:w="977"/>
        <w:gridCol w:w="654"/>
        <w:gridCol w:w="654"/>
        <w:gridCol w:w="603"/>
      </w:tblGrid>
      <w:tr>
        <w:tblPrEx>
          <w:shd w:val="clear" w:color="auto" w:fill="FFFFFF"/>
        </w:tblPrEx>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作业号</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到达时间</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所需CPU时间</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开始时间</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完成时间</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周转时间</w:t>
            </w:r>
          </w:p>
        </w:tc>
      </w:tr>
      <w:tr>
        <w:tblPrEx>
          <w:shd w:val="clear" w:color="auto" w:fill="FFFFFF"/>
        </w:tblPrEx>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2</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9.0</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0.4</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9.5</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9.9</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0.9</w:t>
            </w:r>
          </w:p>
        </w:tc>
      </w:tr>
      <w:tr>
        <w:tblPrEx>
          <w:shd w:val="clear" w:color="auto" w:fill="FFFFFF"/>
        </w:tblPrEx>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1</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8.8</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1.5</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9.9</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11.4</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2.6</w:t>
            </w:r>
          </w:p>
        </w:tc>
      </w:tr>
      <w:tr>
        <w:tblPrEx>
          <w:shd w:val="clear" w:color="auto" w:fill="FFFFFF"/>
        </w:tblPrEx>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3</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9.5</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1.0</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11.4</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12.4</w:t>
            </w:r>
          </w:p>
        </w:tc>
        <w:tc>
          <w:tcPr>
            <w:tcW w:w="0" w:type="auto"/>
            <w:shd w:val="clear" w:color="auto" w:fill="FFFFFF"/>
            <w:tcMar>
              <w:top w:w="0" w:type="dxa"/>
              <w:left w:w="0" w:type="dxa"/>
              <w:bottom w:w="0" w:type="dxa"/>
              <w:right w:w="0" w:type="dxa"/>
            </w:tcMar>
            <w:vAlign w:val="center"/>
          </w:tcPr>
          <w:p>
            <w:pPr>
              <w:bidi w:val="0"/>
              <w:rPr>
                <w:rFonts w:hint="default"/>
              </w:rPr>
            </w:pPr>
            <w:r>
              <w:rPr>
                <w:rFonts w:hint="default"/>
                <w:lang w:val="en-US" w:eastAsia="zh-CN"/>
              </w:rPr>
              <w:t>2.9</w:t>
            </w:r>
          </w:p>
        </w:tc>
      </w:tr>
    </w:tbl>
    <w:p>
      <w:pPr>
        <w:bidi w:val="0"/>
      </w:pPr>
      <w:r>
        <w:rPr>
          <w:rFonts w:hint="default"/>
          <w:lang w:val="en-US" w:eastAsia="zh-CN"/>
        </w:rPr>
        <w:br w:type="textWrapping"/>
      </w:r>
      <w:r>
        <w:rPr>
          <w:rFonts w:hint="default"/>
          <w:lang w:val="en-US" w:eastAsia="zh-CN"/>
        </w:rPr>
        <w:t>   作业的调度顺序是2→1→3。各自的周转时间为：作业1为0.9；作业2为2.6；作业3为2.9。</w:t>
      </w:r>
    </w:p>
    <w:p>
      <w:pPr>
        <w:widowControl w:val="0"/>
        <w:numPr>
          <w:numId w:val="0"/>
        </w:numPr>
        <w:jc w:val="both"/>
        <w:rPr>
          <w:rFonts w:hint="eastAsia"/>
          <w:lang w:eastAsia="zh-Hans"/>
        </w:rPr>
      </w:pPr>
      <w:bookmarkStart w:id="0" w:name="_GoBack"/>
      <w:bookmarkEnd w:id="0"/>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EFB66"/>
    <w:multiLevelType w:val="singleLevel"/>
    <w:tmpl w:val="5F4EFB66"/>
    <w:lvl w:ilvl="0" w:tentative="0">
      <w:start w:val="1"/>
      <w:numFmt w:val="chineseCounting"/>
      <w:suff w:val="nothing"/>
      <w:lvlText w:val="%1、"/>
      <w:lvlJc w:val="left"/>
    </w:lvl>
  </w:abstractNum>
  <w:abstractNum w:abstractNumId="1">
    <w:nsid w:val="5F4EFB8C"/>
    <w:multiLevelType w:val="singleLevel"/>
    <w:tmpl w:val="5F4EFB8C"/>
    <w:lvl w:ilvl="0" w:tentative="0">
      <w:start w:val="1"/>
      <w:numFmt w:val="decimal"/>
      <w:suff w:val="nothing"/>
      <w:lvlText w:val="%1."/>
      <w:lvlJc w:val="left"/>
    </w:lvl>
  </w:abstractNum>
  <w:abstractNum w:abstractNumId="2">
    <w:nsid w:val="5F4EFCCB"/>
    <w:multiLevelType w:val="singleLevel"/>
    <w:tmpl w:val="5F4EFCCB"/>
    <w:lvl w:ilvl="0" w:tentative="0">
      <w:start w:val="7"/>
      <w:numFmt w:val="decimal"/>
      <w:suff w:val="nothing"/>
      <w:lvlText w:val="%1."/>
      <w:lvlJc w:val="left"/>
    </w:lvl>
  </w:abstractNum>
  <w:abstractNum w:abstractNumId="3">
    <w:nsid w:val="5F4EFEFD"/>
    <w:multiLevelType w:val="singleLevel"/>
    <w:tmpl w:val="5F4EFEFD"/>
    <w:lvl w:ilvl="0" w:tentative="0">
      <w:start w:val="2"/>
      <w:numFmt w:val="chineseCounting"/>
      <w:suff w:val="nothing"/>
      <w:lvlText w:val="%1、"/>
      <w:lvlJc w:val="left"/>
    </w:lvl>
  </w:abstractNum>
  <w:abstractNum w:abstractNumId="4">
    <w:nsid w:val="5F4EFF76"/>
    <w:multiLevelType w:val="singleLevel"/>
    <w:tmpl w:val="5F4EFF76"/>
    <w:lvl w:ilvl="0" w:tentative="0">
      <w:start w:val="1"/>
      <w:numFmt w:val="decimal"/>
      <w:suff w:val="space"/>
      <w:lvlText w:val="%1."/>
      <w:lvlJc w:val="left"/>
    </w:lvl>
  </w:abstractNum>
  <w:abstractNum w:abstractNumId="5">
    <w:nsid w:val="5F4EFFCD"/>
    <w:multiLevelType w:val="singleLevel"/>
    <w:tmpl w:val="5F4EFFCD"/>
    <w:lvl w:ilvl="0" w:tentative="0">
      <w:start w:val="5"/>
      <w:numFmt w:val="decimal"/>
      <w:suff w:val="space"/>
      <w:lvlText w:val="%1."/>
      <w:lvlJc w:val="left"/>
    </w:lvl>
  </w:abstractNum>
  <w:abstractNum w:abstractNumId="6">
    <w:nsid w:val="5F4EFFDF"/>
    <w:multiLevelType w:val="singleLevel"/>
    <w:tmpl w:val="5F4EFFDF"/>
    <w:lvl w:ilvl="0" w:tentative="0">
      <w:start w:val="4"/>
      <w:numFmt w:val="chineseCounting"/>
      <w:suff w:val="nothing"/>
      <w:lvlText w:val="%1、"/>
      <w:lvlJc w:val="left"/>
    </w:lvl>
  </w:abstractNum>
  <w:abstractNum w:abstractNumId="7">
    <w:nsid w:val="5F4F0033"/>
    <w:multiLevelType w:val="singleLevel"/>
    <w:tmpl w:val="5F4F0033"/>
    <w:lvl w:ilvl="0" w:tentative="0">
      <w:start w:val="1"/>
      <w:numFmt w:val="decimal"/>
      <w:suff w:val="nothing"/>
      <w:lvlText w:val="%1."/>
      <w:lvlJc w:val="left"/>
    </w:lvl>
  </w:abstractNum>
  <w:abstractNum w:abstractNumId="8">
    <w:nsid w:val="5F4F26E0"/>
    <w:multiLevelType w:val="singleLevel"/>
    <w:tmpl w:val="5F4F26E0"/>
    <w:lvl w:ilvl="0" w:tentative="0">
      <w:start w:val="4"/>
      <w:numFmt w:val="chineseCounting"/>
      <w:suff w:val="nothing"/>
      <w:lvlText w:val="%1、"/>
      <w:lvlJc w:val="left"/>
    </w:lvl>
  </w:abstractNum>
  <w:abstractNum w:abstractNumId="9">
    <w:nsid w:val="5F4F283E"/>
    <w:multiLevelType w:val="singleLevel"/>
    <w:tmpl w:val="5F4F283E"/>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7570A"/>
    <w:rsid w:val="2FD77B1E"/>
    <w:rsid w:val="3EDF8489"/>
    <w:rsid w:val="59D7570A"/>
    <w:rsid w:val="6FFD37D3"/>
    <w:rsid w:val="76FF12BD"/>
    <w:rsid w:val="773FB6C4"/>
    <w:rsid w:val="AFFEDC56"/>
    <w:rsid w:val="FFAD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2020-09-02T09:46:00Z</dcterms:created>
  <dc:creator>gn</dc:creator>
  <cp:lastModifiedBy>gn</cp:lastModifiedBy>
  <dcterms:modified xsi:type="dcterms:W3CDTF">2020-09-02T12:59:01Z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