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68FB" w14:textId="77777777" w:rsidR="00773C68" w:rsidRDefault="00773C68" w:rsidP="00773C68">
      <w:pPr>
        <w:pStyle w:val="Titre"/>
        <w:jc w:val="center"/>
      </w:pPr>
      <w:r>
        <w:t>Procédure de création de Franchisé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1817"/>
        <w:gridCol w:w="1118"/>
        <w:gridCol w:w="1644"/>
        <w:gridCol w:w="3573"/>
      </w:tblGrid>
      <w:tr w:rsidR="00682AF4" w14:paraId="0E7BB488" w14:textId="77777777" w:rsidTr="00682AF4">
        <w:trPr>
          <w:jc w:val="center"/>
        </w:trPr>
        <w:tc>
          <w:tcPr>
            <w:tcW w:w="910" w:type="dxa"/>
            <w:shd w:val="clear" w:color="auto" w:fill="E7E6E6" w:themeFill="background2"/>
          </w:tcPr>
          <w:p w14:paraId="23224BB0" w14:textId="77777777" w:rsidR="00682AF4" w:rsidRPr="003C24A5" w:rsidRDefault="00682AF4" w:rsidP="0064462C">
            <w:pPr>
              <w:jc w:val="center"/>
              <w:rPr>
                <w:b/>
              </w:rPr>
            </w:pPr>
            <w:r w:rsidRPr="003C24A5">
              <w:rPr>
                <w:b/>
              </w:rPr>
              <w:t>Etapes</w:t>
            </w:r>
          </w:p>
        </w:tc>
        <w:tc>
          <w:tcPr>
            <w:tcW w:w="1817" w:type="dxa"/>
            <w:shd w:val="clear" w:color="auto" w:fill="E7E6E6" w:themeFill="background2"/>
          </w:tcPr>
          <w:p w14:paraId="75BE64FE" w14:textId="77777777" w:rsidR="00682AF4" w:rsidRPr="003C24A5" w:rsidRDefault="00682AF4" w:rsidP="0064462C">
            <w:pPr>
              <w:jc w:val="center"/>
              <w:rPr>
                <w:b/>
              </w:rPr>
            </w:pPr>
            <w:r w:rsidRPr="003C24A5">
              <w:rPr>
                <w:b/>
              </w:rPr>
              <w:t>Environnement</w:t>
            </w:r>
          </w:p>
        </w:tc>
        <w:tc>
          <w:tcPr>
            <w:tcW w:w="1118" w:type="dxa"/>
            <w:shd w:val="clear" w:color="auto" w:fill="E7E6E6" w:themeFill="background2"/>
          </w:tcPr>
          <w:p w14:paraId="24355E1C" w14:textId="77777777" w:rsidR="00682AF4" w:rsidRPr="003C24A5" w:rsidRDefault="00682AF4" w:rsidP="0064462C">
            <w:pPr>
              <w:jc w:val="center"/>
              <w:rPr>
                <w:b/>
              </w:rPr>
            </w:pPr>
            <w:r w:rsidRPr="003C24A5">
              <w:rPr>
                <w:b/>
              </w:rPr>
              <w:t>Acteur</w:t>
            </w:r>
          </w:p>
        </w:tc>
        <w:tc>
          <w:tcPr>
            <w:tcW w:w="1644" w:type="dxa"/>
            <w:shd w:val="clear" w:color="auto" w:fill="E7E6E6" w:themeFill="background2"/>
          </w:tcPr>
          <w:p w14:paraId="2E681923" w14:textId="77777777" w:rsidR="00682AF4" w:rsidRPr="003C24A5" w:rsidRDefault="00682AF4" w:rsidP="0064462C">
            <w:pPr>
              <w:jc w:val="center"/>
              <w:rPr>
                <w:b/>
              </w:rPr>
            </w:pPr>
            <w:r w:rsidRPr="003C24A5">
              <w:rPr>
                <w:b/>
              </w:rPr>
              <w:t>Description</w:t>
            </w:r>
          </w:p>
        </w:tc>
        <w:tc>
          <w:tcPr>
            <w:tcW w:w="3573" w:type="dxa"/>
            <w:shd w:val="clear" w:color="auto" w:fill="E7E6E6" w:themeFill="background2"/>
          </w:tcPr>
          <w:p w14:paraId="6A9919B2" w14:textId="77777777" w:rsidR="00682AF4" w:rsidRPr="003C24A5" w:rsidRDefault="00682AF4" w:rsidP="0064462C">
            <w:pPr>
              <w:jc w:val="center"/>
              <w:rPr>
                <w:b/>
              </w:rPr>
            </w:pPr>
            <w:r w:rsidRPr="003C24A5">
              <w:rPr>
                <w:b/>
              </w:rPr>
              <w:t>Détail</w:t>
            </w:r>
          </w:p>
        </w:tc>
      </w:tr>
      <w:tr w:rsidR="00682AF4" w14:paraId="2F55BB6F" w14:textId="77777777" w:rsidTr="00682AF4">
        <w:trPr>
          <w:jc w:val="center"/>
        </w:trPr>
        <w:tc>
          <w:tcPr>
            <w:tcW w:w="910" w:type="dxa"/>
          </w:tcPr>
          <w:p w14:paraId="3AC98A57" w14:textId="77777777" w:rsidR="00682AF4" w:rsidRDefault="00682AF4" w:rsidP="0064462C">
            <w:r>
              <w:t>1</w:t>
            </w:r>
          </w:p>
        </w:tc>
        <w:tc>
          <w:tcPr>
            <w:tcW w:w="1817" w:type="dxa"/>
          </w:tcPr>
          <w:p w14:paraId="60CD09A4" w14:textId="77777777" w:rsidR="00682AF4" w:rsidRDefault="00682AF4" w:rsidP="0064462C"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AquaNET</w:t>
            </w:r>
          </w:p>
        </w:tc>
        <w:tc>
          <w:tcPr>
            <w:tcW w:w="1118" w:type="dxa"/>
            <w:shd w:val="clear" w:color="auto" w:fill="92D050"/>
          </w:tcPr>
          <w:p w14:paraId="34F7B0D8" w14:textId="77777777" w:rsidR="00682AF4" w:rsidRDefault="00682AF4" w:rsidP="0064462C">
            <w:r>
              <w:t>Réseau</w:t>
            </w:r>
          </w:p>
        </w:tc>
        <w:tc>
          <w:tcPr>
            <w:tcW w:w="1644" w:type="dxa"/>
          </w:tcPr>
          <w:p w14:paraId="1D482743" w14:textId="77777777" w:rsidR="00682AF4" w:rsidRDefault="00682AF4" w:rsidP="00682AF4">
            <w:r>
              <w:t>Création du candidat</w:t>
            </w:r>
          </w:p>
        </w:tc>
        <w:tc>
          <w:tcPr>
            <w:tcW w:w="3573" w:type="dxa"/>
          </w:tcPr>
          <w:p w14:paraId="7416F22E" w14:textId="77777777" w:rsidR="00682AF4" w:rsidRDefault="00682AF4" w:rsidP="0064462C"/>
        </w:tc>
      </w:tr>
      <w:tr w:rsidR="00682AF4" w14:paraId="423777D8" w14:textId="77777777" w:rsidTr="00682AF4">
        <w:trPr>
          <w:jc w:val="center"/>
        </w:trPr>
        <w:tc>
          <w:tcPr>
            <w:tcW w:w="910" w:type="dxa"/>
          </w:tcPr>
          <w:p w14:paraId="07045A62" w14:textId="77777777" w:rsidR="00682AF4" w:rsidRDefault="00682AF4" w:rsidP="0064462C">
            <w:r>
              <w:t>2</w:t>
            </w:r>
          </w:p>
        </w:tc>
        <w:tc>
          <w:tcPr>
            <w:tcW w:w="1817" w:type="dxa"/>
          </w:tcPr>
          <w:p w14:paraId="4D0C18E6" w14:textId="77777777" w:rsidR="00682AF4" w:rsidRDefault="00682AF4" w:rsidP="0064462C"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OVH</w:t>
            </w:r>
          </w:p>
        </w:tc>
        <w:tc>
          <w:tcPr>
            <w:tcW w:w="1118" w:type="dxa"/>
            <w:shd w:val="clear" w:color="auto" w:fill="00B0F0"/>
          </w:tcPr>
          <w:p w14:paraId="64240B57" w14:textId="77777777" w:rsidR="00682AF4" w:rsidRDefault="00682AF4" w:rsidP="0064462C">
            <w:r>
              <w:t>SI</w:t>
            </w:r>
          </w:p>
        </w:tc>
        <w:tc>
          <w:tcPr>
            <w:tcW w:w="1644" w:type="dxa"/>
          </w:tcPr>
          <w:p w14:paraId="55D3F600" w14:textId="77777777" w:rsidR="00682AF4" w:rsidRDefault="00682AF4" w:rsidP="0064462C"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Création de l'adresse Mail sur OVH</w:t>
            </w:r>
          </w:p>
        </w:tc>
        <w:tc>
          <w:tcPr>
            <w:tcW w:w="3573" w:type="dxa"/>
          </w:tcPr>
          <w:p w14:paraId="3F913F55" w14:textId="77777777" w:rsidR="00682AF4" w:rsidRDefault="00682AF4" w:rsidP="0064462C"/>
        </w:tc>
      </w:tr>
      <w:tr w:rsidR="00682AF4" w14:paraId="7BFB113D" w14:textId="77777777" w:rsidTr="00682AF4">
        <w:trPr>
          <w:jc w:val="center"/>
        </w:trPr>
        <w:tc>
          <w:tcPr>
            <w:tcW w:w="910" w:type="dxa"/>
          </w:tcPr>
          <w:p w14:paraId="64FD7CBF" w14:textId="77777777" w:rsidR="00682AF4" w:rsidRDefault="00682AF4" w:rsidP="00682AF4">
            <w:r>
              <w:t>3</w:t>
            </w:r>
          </w:p>
        </w:tc>
        <w:tc>
          <w:tcPr>
            <w:tcW w:w="1817" w:type="dxa"/>
          </w:tcPr>
          <w:p w14:paraId="6BA79F13" w14:textId="77777777" w:rsidR="00682AF4" w:rsidRDefault="00682AF4" w:rsidP="00682AF4"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MailInBlack</w:t>
            </w:r>
          </w:p>
        </w:tc>
        <w:tc>
          <w:tcPr>
            <w:tcW w:w="1118" w:type="dxa"/>
          </w:tcPr>
          <w:p w14:paraId="188E8721" w14:textId="77777777" w:rsidR="00682AF4" w:rsidRDefault="00682AF4" w:rsidP="00682AF4">
            <w:r>
              <w:t>Edwige</w:t>
            </w:r>
          </w:p>
        </w:tc>
        <w:tc>
          <w:tcPr>
            <w:tcW w:w="1644" w:type="dxa"/>
          </w:tcPr>
          <w:p w14:paraId="2EE2ADC5" w14:textId="77777777" w:rsidR="00682AF4" w:rsidRDefault="00682AF4" w:rsidP="00682AF4">
            <w:r w:rsidRPr="00473456"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Ajout à Mailinblack</w:t>
            </w:r>
          </w:p>
        </w:tc>
        <w:tc>
          <w:tcPr>
            <w:tcW w:w="3573" w:type="dxa"/>
          </w:tcPr>
          <w:p w14:paraId="49311B8F" w14:textId="77777777" w:rsidR="00682AF4" w:rsidRDefault="00682AF4" w:rsidP="00682AF4"/>
        </w:tc>
      </w:tr>
      <w:tr w:rsidR="00682AF4" w14:paraId="04CED68C" w14:textId="77777777" w:rsidTr="00682AF4">
        <w:trPr>
          <w:jc w:val="center"/>
        </w:trPr>
        <w:tc>
          <w:tcPr>
            <w:tcW w:w="910" w:type="dxa"/>
          </w:tcPr>
          <w:p w14:paraId="69D15E9F" w14:textId="77777777" w:rsidR="00682AF4" w:rsidRDefault="00682AF4" w:rsidP="0064462C">
            <w:r>
              <w:t>4</w:t>
            </w:r>
          </w:p>
        </w:tc>
        <w:tc>
          <w:tcPr>
            <w:tcW w:w="1817" w:type="dxa"/>
          </w:tcPr>
          <w:p w14:paraId="2027F792" w14:textId="77777777" w:rsidR="00682AF4" w:rsidRDefault="00682AF4" w:rsidP="0064462C"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AquaNET</w:t>
            </w:r>
          </w:p>
        </w:tc>
        <w:tc>
          <w:tcPr>
            <w:tcW w:w="1118" w:type="dxa"/>
          </w:tcPr>
          <w:p w14:paraId="38514E8B" w14:textId="77777777" w:rsidR="00682AF4" w:rsidRDefault="00682AF4" w:rsidP="0064462C">
            <w:r>
              <w:t>Réseau</w:t>
            </w:r>
          </w:p>
        </w:tc>
        <w:tc>
          <w:tcPr>
            <w:tcW w:w="1644" w:type="dxa"/>
          </w:tcPr>
          <w:p w14:paraId="223EEE4F" w14:textId="77777777" w:rsidR="00682AF4" w:rsidRDefault="00682AF4" w:rsidP="00682AF4"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Création du compte</w:t>
            </w:r>
          </w:p>
        </w:tc>
        <w:tc>
          <w:tcPr>
            <w:tcW w:w="3573" w:type="dxa"/>
          </w:tcPr>
          <w:p w14:paraId="63490EEF" w14:textId="77777777" w:rsidR="00682AF4" w:rsidRDefault="00682AF4" w:rsidP="0064462C">
            <w:r>
              <w:t>Renseigner l’adresse en aquatiris.fr nouvellement créée</w:t>
            </w:r>
          </w:p>
        </w:tc>
      </w:tr>
      <w:tr w:rsidR="00682AF4" w14:paraId="148E05D2" w14:textId="77777777" w:rsidTr="00682AF4">
        <w:trPr>
          <w:jc w:val="center"/>
        </w:trPr>
        <w:tc>
          <w:tcPr>
            <w:tcW w:w="910" w:type="dxa"/>
          </w:tcPr>
          <w:p w14:paraId="0E0965AB" w14:textId="77777777" w:rsidR="00682AF4" w:rsidRDefault="00682AF4" w:rsidP="0064462C">
            <w:r>
              <w:t>5</w:t>
            </w:r>
          </w:p>
        </w:tc>
        <w:tc>
          <w:tcPr>
            <w:tcW w:w="1817" w:type="dxa"/>
          </w:tcPr>
          <w:p w14:paraId="198E1C6D" w14:textId="77777777" w:rsidR="00682AF4" w:rsidRDefault="00682AF4" w:rsidP="0064462C">
            <w:r>
              <w:t>BDD FactorNET</w:t>
            </w:r>
          </w:p>
        </w:tc>
        <w:tc>
          <w:tcPr>
            <w:tcW w:w="1118" w:type="dxa"/>
          </w:tcPr>
          <w:p w14:paraId="7BE54A20" w14:textId="77777777" w:rsidR="00682AF4" w:rsidRDefault="00682AF4" w:rsidP="0064462C">
            <w:r>
              <w:t>SI</w:t>
            </w:r>
          </w:p>
        </w:tc>
        <w:tc>
          <w:tcPr>
            <w:tcW w:w="1644" w:type="dxa"/>
          </w:tcPr>
          <w:p w14:paraId="2659A73C" w14:textId="77777777" w:rsidR="00682AF4" w:rsidRDefault="00682AF4" w:rsidP="0064462C">
            <w:r>
              <w:t>Alimentation BDD</w:t>
            </w:r>
          </w:p>
        </w:tc>
        <w:tc>
          <w:tcPr>
            <w:tcW w:w="3573" w:type="dxa"/>
          </w:tcPr>
          <w:p w14:paraId="58717B24" w14:textId="77777777" w:rsidR="00682AF4" w:rsidRPr="00B922D0" w:rsidRDefault="00682AF4" w:rsidP="0064462C"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Renseignement des départements d'intervention dans la base de données (TBECoordonnees.Depts)</w:t>
            </w:r>
          </w:p>
        </w:tc>
      </w:tr>
      <w:tr w:rsidR="00682AF4" w14:paraId="3CF0A578" w14:textId="77777777" w:rsidTr="00682AF4">
        <w:trPr>
          <w:jc w:val="center"/>
        </w:trPr>
        <w:tc>
          <w:tcPr>
            <w:tcW w:w="910" w:type="dxa"/>
          </w:tcPr>
          <w:p w14:paraId="278218CA" w14:textId="77777777" w:rsidR="00682AF4" w:rsidRDefault="00682AF4" w:rsidP="0064462C">
            <w:r>
              <w:t>6</w:t>
            </w:r>
          </w:p>
        </w:tc>
        <w:tc>
          <w:tcPr>
            <w:tcW w:w="1817" w:type="dxa"/>
          </w:tcPr>
          <w:p w14:paraId="44FDCC82" w14:textId="77777777" w:rsidR="00682AF4" w:rsidRDefault="00682AF4" w:rsidP="00682AF4">
            <w:r>
              <w:t>Prestashop</w:t>
            </w:r>
          </w:p>
        </w:tc>
        <w:tc>
          <w:tcPr>
            <w:tcW w:w="1118" w:type="dxa"/>
            <w:shd w:val="clear" w:color="auto" w:fill="FFFFFF" w:themeFill="background1"/>
          </w:tcPr>
          <w:p w14:paraId="579B69DF" w14:textId="77777777" w:rsidR="00682AF4" w:rsidRDefault="00682AF4" w:rsidP="0064462C">
            <w:r>
              <w:t>SI</w:t>
            </w:r>
          </w:p>
        </w:tc>
        <w:tc>
          <w:tcPr>
            <w:tcW w:w="1644" w:type="dxa"/>
          </w:tcPr>
          <w:p w14:paraId="00397744" w14:textId="77777777" w:rsidR="00682AF4" w:rsidRDefault="00682AF4" w:rsidP="0064462C">
            <w:r>
              <w:t>Création du compte</w:t>
            </w:r>
          </w:p>
        </w:tc>
        <w:tc>
          <w:tcPr>
            <w:tcW w:w="3573" w:type="dxa"/>
          </w:tcPr>
          <w:p w14:paraId="37A12AB8" w14:textId="03EC9BCD" w:rsidR="00682AF4" w:rsidRDefault="00682AF4" w:rsidP="0064462C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Création du compte prestashop via l'interface d'admin de Saskit</w:t>
            </w:r>
            <w:r w:rsidR="00D21776"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, activation du compte différé à 10000 par défaut</w:t>
            </w:r>
          </w:p>
        </w:tc>
      </w:tr>
      <w:tr w:rsidR="00682AF4" w14:paraId="48C5DA65" w14:textId="77777777" w:rsidTr="00682AF4">
        <w:trPr>
          <w:jc w:val="center"/>
        </w:trPr>
        <w:tc>
          <w:tcPr>
            <w:tcW w:w="910" w:type="dxa"/>
          </w:tcPr>
          <w:p w14:paraId="7708BF89" w14:textId="77777777" w:rsidR="00682AF4" w:rsidRDefault="00682AF4" w:rsidP="0064462C">
            <w:r>
              <w:t>6</w:t>
            </w:r>
          </w:p>
        </w:tc>
        <w:tc>
          <w:tcPr>
            <w:tcW w:w="1817" w:type="dxa"/>
          </w:tcPr>
          <w:p w14:paraId="25A8EDE5" w14:textId="77777777" w:rsidR="00682AF4" w:rsidRDefault="00682AF4" w:rsidP="00682AF4">
            <w:r>
              <w:t>BDD Base de connaissance</w:t>
            </w:r>
          </w:p>
        </w:tc>
        <w:tc>
          <w:tcPr>
            <w:tcW w:w="1118" w:type="dxa"/>
            <w:shd w:val="clear" w:color="auto" w:fill="FFFFFF" w:themeFill="background1"/>
          </w:tcPr>
          <w:p w14:paraId="5CBB3F3C" w14:textId="77777777" w:rsidR="00682AF4" w:rsidRDefault="00682AF4" w:rsidP="0064462C">
            <w:r>
              <w:t>SI</w:t>
            </w:r>
          </w:p>
        </w:tc>
        <w:tc>
          <w:tcPr>
            <w:tcW w:w="1644" w:type="dxa"/>
          </w:tcPr>
          <w:p w14:paraId="1675C0DC" w14:textId="77777777" w:rsidR="00682AF4" w:rsidRDefault="00682AF4" w:rsidP="0064462C">
            <w:r>
              <w:t>Alimentation BDD</w:t>
            </w:r>
          </w:p>
        </w:tc>
        <w:tc>
          <w:tcPr>
            <w:tcW w:w="3573" w:type="dxa"/>
          </w:tcPr>
          <w:p w14:paraId="3E746627" w14:textId="77777777" w:rsidR="00682AF4" w:rsidRDefault="00682AF4" w:rsidP="0064462C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 xml:space="preserve">Création du compte sur la base de connaissance (script SQL via fichier Excel </w:t>
            </w:r>
            <w:r w:rsidRPr="00473456">
              <w:rPr>
                <w:rFonts w:ascii="Calibri" w:hAnsi="Calibri"/>
                <w:b/>
                <w:i/>
                <w:color w:val="1F497D"/>
                <w:sz w:val="22"/>
                <w:szCs w:val="22"/>
                <w:lang w:eastAsia="en-US"/>
              </w:rPr>
              <w:t>InsertUsersBCADMIN.xlsx</w:t>
            </w:r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)</w:t>
            </w:r>
          </w:p>
          <w:p w14:paraId="127FC2C8" w14:textId="77777777" w:rsidR="00682AF4" w:rsidRDefault="00682AF4" w:rsidP="0064462C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</w:p>
          <w:p w14:paraId="4A60399D" w14:textId="77777777" w:rsidR="00682AF4" w:rsidRDefault="00682AF4" w:rsidP="00682AF4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Choix du serveur : wm727-001.privatesql</w:t>
            </w:r>
          </w:p>
          <w:p w14:paraId="688F1666" w14:textId="77777777" w:rsidR="00682AF4" w:rsidRDefault="00682AF4" w:rsidP="00682AF4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                Port : 35254</w:t>
            </w:r>
          </w:p>
          <w:p w14:paraId="545B2324" w14:textId="77777777" w:rsidR="00682AF4" w:rsidRDefault="00682AF4" w:rsidP="00682AF4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                User : bcadmin</w:t>
            </w:r>
          </w:p>
          <w:p w14:paraId="475FFEFC" w14:textId="77777777" w:rsidR="00682AF4" w:rsidRDefault="00682AF4" w:rsidP="00682AF4"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                pwd : aeK7mp9T56ze</w:t>
            </w:r>
          </w:p>
        </w:tc>
      </w:tr>
      <w:tr w:rsidR="00682AF4" w14:paraId="649B9A87" w14:textId="77777777" w:rsidTr="00682AF4">
        <w:trPr>
          <w:jc w:val="center"/>
        </w:trPr>
        <w:tc>
          <w:tcPr>
            <w:tcW w:w="910" w:type="dxa"/>
          </w:tcPr>
          <w:p w14:paraId="69582E27" w14:textId="77777777" w:rsidR="00682AF4" w:rsidRDefault="00682AF4" w:rsidP="0064462C">
            <w:r>
              <w:t>7</w:t>
            </w:r>
          </w:p>
        </w:tc>
        <w:tc>
          <w:tcPr>
            <w:tcW w:w="1817" w:type="dxa"/>
          </w:tcPr>
          <w:p w14:paraId="76EF89B9" w14:textId="77777777" w:rsidR="00682AF4" w:rsidRDefault="00682AF4" w:rsidP="0064462C">
            <w:r>
              <w:t>BDD FactorNET</w:t>
            </w:r>
          </w:p>
        </w:tc>
        <w:tc>
          <w:tcPr>
            <w:tcW w:w="1118" w:type="dxa"/>
            <w:shd w:val="clear" w:color="auto" w:fill="FFFFFF" w:themeFill="background1"/>
          </w:tcPr>
          <w:p w14:paraId="5E836C33" w14:textId="77777777" w:rsidR="00682AF4" w:rsidRDefault="00682AF4" w:rsidP="0064462C">
            <w:r>
              <w:t>SI</w:t>
            </w:r>
          </w:p>
        </w:tc>
        <w:tc>
          <w:tcPr>
            <w:tcW w:w="1644" w:type="dxa"/>
          </w:tcPr>
          <w:p w14:paraId="72DAD33D" w14:textId="77777777" w:rsidR="00682AF4" w:rsidRDefault="00682AF4" w:rsidP="0064462C">
            <w:r>
              <w:t>Alimentation BDD</w:t>
            </w:r>
          </w:p>
        </w:tc>
        <w:tc>
          <w:tcPr>
            <w:tcW w:w="3573" w:type="dxa"/>
          </w:tcPr>
          <w:p w14:paraId="4FE6CEE2" w14:textId="77777777" w:rsidR="00682AF4" w:rsidRPr="00682AF4" w:rsidRDefault="00682AF4" w:rsidP="00682AF4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Renseigner les identifiants Prestashop et base de connaissance dans TBECompte</w:t>
            </w:r>
          </w:p>
        </w:tc>
      </w:tr>
      <w:tr w:rsidR="00682AF4" w14:paraId="6F49B7DE" w14:textId="77777777" w:rsidTr="00682AF4">
        <w:trPr>
          <w:jc w:val="center"/>
        </w:trPr>
        <w:tc>
          <w:tcPr>
            <w:tcW w:w="910" w:type="dxa"/>
          </w:tcPr>
          <w:p w14:paraId="4084127F" w14:textId="77777777" w:rsidR="00682AF4" w:rsidRDefault="00682AF4" w:rsidP="0064462C">
            <w:r>
              <w:t>8</w:t>
            </w:r>
          </w:p>
        </w:tc>
        <w:tc>
          <w:tcPr>
            <w:tcW w:w="1817" w:type="dxa"/>
          </w:tcPr>
          <w:p w14:paraId="25C669BB" w14:textId="77777777" w:rsidR="00682AF4" w:rsidRDefault="00682AF4" w:rsidP="0064462C">
            <w:r>
              <w:t>Aquatiris.fr</w:t>
            </w:r>
          </w:p>
        </w:tc>
        <w:tc>
          <w:tcPr>
            <w:tcW w:w="1118" w:type="dxa"/>
            <w:shd w:val="clear" w:color="auto" w:fill="FFFFFF" w:themeFill="background1"/>
          </w:tcPr>
          <w:p w14:paraId="47D2EB5F" w14:textId="77777777" w:rsidR="00682AF4" w:rsidRDefault="00682AF4" w:rsidP="0064462C">
            <w:r>
              <w:t>Com</w:t>
            </w:r>
          </w:p>
        </w:tc>
        <w:tc>
          <w:tcPr>
            <w:tcW w:w="1644" w:type="dxa"/>
          </w:tcPr>
          <w:p w14:paraId="019C7D72" w14:textId="77777777" w:rsidR="00682AF4" w:rsidRDefault="00682AF4" w:rsidP="0064462C">
            <w:r>
              <w:t>Création de l’expert</w:t>
            </w:r>
          </w:p>
        </w:tc>
        <w:tc>
          <w:tcPr>
            <w:tcW w:w="3573" w:type="dxa"/>
          </w:tcPr>
          <w:p w14:paraId="6B854166" w14:textId="77777777" w:rsidR="00682AF4" w:rsidRPr="00682AF4" w:rsidRDefault="00682AF4" w:rsidP="00682AF4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  <w:r w:rsidRPr="00682AF4"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 xml:space="preserve">Création de l'expert sur le site Aquatiris.fr avec le RefBE </w:t>
            </w:r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en expert_ref</w:t>
            </w:r>
          </w:p>
          <w:p w14:paraId="722ACEBA" w14:textId="77777777" w:rsidR="00682AF4" w:rsidRDefault="00000000" w:rsidP="00682AF4">
            <w:hyperlink r:id="rId5" w:history="1">
              <w:r w:rsidR="00682AF4">
                <w:rPr>
                  <w:rStyle w:val="Lienhypertexte"/>
                  <w:rFonts w:ascii="Calibri" w:hAnsi="Calibri"/>
                  <w:sz w:val="22"/>
                  <w:szCs w:val="22"/>
                  <w:lang w:eastAsia="en-US"/>
                </w:rPr>
                <w:t>https://www.aquatiris.fr/wp/wp-login.php</w:t>
              </w:r>
            </w:hyperlink>
          </w:p>
        </w:tc>
      </w:tr>
      <w:tr w:rsidR="00682AF4" w14:paraId="6E32D733" w14:textId="77777777" w:rsidTr="00682AF4">
        <w:trPr>
          <w:jc w:val="center"/>
        </w:trPr>
        <w:tc>
          <w:tcPr>
            <w:tcW w:w="910" w:type="dxa"/>
          </w:tcPr>
          <w:p w14:paraId="7A1FBB0D" w14:textId="77777777" w:rsidR="00682AF4" w:rsidRDefault="00773C68" w:rsidP="0064462C">
            <w:r>
              <w:t>9</w:t>
            </w:r>
          </w:p>
        </w:tc>
        <w:tc>
          <w:tcPr>
            <w:tcW w:w="1817" w:type="dxa"/>
          </w:tcPr>
          <w:p w14:paraId="2E57E838" w14:textId="77777777" w:rsidR="00682AF4" w:rsidRDefault="00773C68" w:rsidP="0064462C"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Migratio</w:t>
            </w:r>
          </w:p>
        </w:tc>
        <w:tc>
          <w:tcPr>
            <w:tcW w:w="1118" w:type="dxa"/>
            <w:shd w:val="clear" w:color="auto" w:fill="FFFFFF" w:themeFill="background1"/>
          </w:tcPr>
          <w:p w14:paraId="7D7487FA" w14:textId="77777777" w:rsidR="00682AF4" w:rsidRDefault="00773C68" w:rsidP="0064462C">
            <w:r>
              <w:t>SI</w:t>
            </w:r>
          </w:p>
        </w:tc>
        <w:tc>
          <w:tcPr>
            <w:tcW w:w="1644" w:type="dxa"/>
          </w:tcPr>
          <w:p w14:paraId="7A9187A4" w14:textId="77777777" w:rsidR="00682AF4" w:rsidRDefault="00773C68" w:rsidP="0064462C">
            <w:r>
              <w:t>Zones</w:t>
            </w:r>
          </w:p>
        </w:tc>
        <w:tc>
          <w:tcPr>
            <w:tcW w:w="3573" w:type="dxa"/>
          </w:tcPr>
          <w:p w14:paraId="3C0D884D" w14:textId="77777777" w:rsidR="00682AF4" w:rsidRPr="00682AF4" w:rsidRDefault="00773C68" w:rsidP="00682AF4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Utilisation de Migratio pour affecter les communes à la nouvelle franchise (via l'interface Sélectionner la franchise, puis, Affecter une valeur à la sélection =&gt; modifier les valeurs RefBE, CodeBE, ZoneBE ...)</w:t>
            </w:r>
          </w:p>
        </w:tc>
      </w:tr>
      <w:tr w:rsidR="00682AF4" w14:paraId="5592898E" w14:textId="77777777" w:rsidTr="00682AF4">
        <w:trPr>
          <w:jc w:val="center"/>
        </w:trPr>
        <w:tc>
          <w:tcPr>
            <w:tcW w:w="910" w:type="dxa"/>
          </w:tcPr>
          <w:p w14:paraId="2F76A894" w14:textId="77777777" w:rsidR="00682AF4" w:rsidRDefault="00682AF4" w:rsidP="0064462C"/>
        </w:tc>
        <w:tc>
          <w:tcPr>
            <w:tcW w:w="1817" w:type="dxa"/>
          </w:tcPr>
          <w:p w14:paraId="762E02B7" w14:textId="77777777" w:rsidR="00682AF4" w:rsidRDefault="00773C68" w:rsidP="0064462C"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Migratio</w:t>
            </w:r>
          </w:p>
        </w:tc>
        <w:tc>
          <w:tcPr>
            <w:tcW w:w="1118" w:type="dxa"/>
            <w:shd w:val="clear" w:color="auto" w:fill="FFFFFF" w:themeFill="background1"/>
          </w:tcPr>
          <w:p w14:paraId="5E2B1539" w14:textId="77777777" w:rsidR="00682AF4" w:rsidRDefault="00773C68" w:rsidP="0064462C">
            <w:r>
              <w:t>SI</w:t>
            </w:r>
          </w:p>
        </w:tc>
        <w:tc>
          <w:tcPr>
            <w:tcW w:w="1644" w:type="dxa"/>
          </w:tcPr>
          <w:p w14:paraId="35DA1788" w14:textId="77777777" w:rsidR="00682AF4" w:rsidRDefault="00682AF4" w:rsidP="0064462C"/>
        </w:tc>
        <w:tc>
          <w:tcPr>
            <w:tcW w:w="3573" w:type="dxa"/>
          </w:tcPr>
          <w:p w14:paraId="0AC57E7F" w14:textId="77777777" w:rsidR="00682AF4" w:rsidRPr="00682AF4" w:rsidRDefault="00773C68" w:rsidP="00682AF4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Redessiner les zones de franchise avec Migratio (programme: APGMAQUA.A00-ExportExtrnets.mat)</w:t>
            </w:r>
          </w:p>
        </w:tc>
      </w:tr>
      <w:tr w:rsidR="00682AF4" w14:paraId="7CE62126" w14:textId="77777777" w:rsidTr="00682AF4">
        <w:trPr>
          <w:jc w:val="center"/>
        </w:trPr>
        <w:tc>
          <w:tcPr>
            <w:tcW w:w="910" w:type="dxa"/>
          </w:tcPr>
          <w:p w14:paraId="71B3E7FF" w14:textId="77777777" w:rsidR="00682AF4" w:rsidRDefault="00682AF4" w:rsidP="0064462C"/>
        </w:tc>
        <w:tc>
          <w:tcPr>
            <w:tcW w:w="1817" w:type="dxa"/>
          </w:tcPr>
          <w:p w14:paraId="1DD8128E" w14:textId="77777777" w:rsidR="00682AF4" w:rsidRDefault="00773C68" w:rsidP="0064462C"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Migratio</w:t>
            </w:r>
          </w:p>
        </w:tc>
        <w:tc>
          <w:tcPr>
            <w:tcW w:w="1118" w:type="dxa"/>
            <w:shd w:val="clear" w:color="auto" w:fill="FFFFFF" w:themeFill="background1"/>
          </w:tcPr>
          <w:p w14:paraId="054CA13D" w14:textId="77777777" w:rsidR="00682AF4" w:rsidRDefault="00773C68" w:rsidP="0064462C">
            <w:r>
              <w:t>SI</w:t>
            </w:r>
          </w:p>
        </w:tc>
        <w:tc>
          <w:tcPr>
            <w:tcW w:w="1644" w:type="dxa"/>
          </w:tcPr>
          <w:p w14:paraId="67D257DB" w14:textId="77777777" w:rsidR="00682AF4" w:rsidRDefault="00773C68" w:rsidP="0064462C">
            <w:r>
              <w:t>Zones</w:t>
            </w:r>
          </w:p>
        </w:tc>
        <w:tc>
          <w:tcPr>
            <w:tcW w:w="3573" w:type="dxa"/>
          </w:tcPr>
          <w:p w14:paraId="0B815D54" w14:textId="77777777" w:rsidR="00682AF4" w:rsidRPr="00682AF4" w:rsidRDefault="00773C68" w:rsidP="00682AF4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Passage du script Migratio ci-dessous, de mise à jour des communes dans FactorNET et Aquatiris.fr (Webforms)</w:t>
            </w:r>
          </w:p>
        </w:tc>
      </w:tr>
    </w:tbl>
    <w:p w14:paraId="2392B381" w14:textId="77777777" w:rsidR="00473456" w:rsidRDefault="00473456" w:rsidP="00473456">
      <w:pPr>
        <w:rPr>
          <w:rFonts w:ascii="Calibri" w:hAnsi="Calibri"/>
          <w:color w:val="1F497D"/>
          <w:sz w:val="22"/>
          <w:szCs w:val="22"/>
          <w:lang w:eastAsia="en-US"/>
        </w:rPr>
      </w:pPr>
    </w:p>
    <w:p w14:paraId="4DFD29B7" w14:textId="77777777" w:rsidR="00773C68" w:rsidRPr="00773C68" w:rsidRDefault="00773C68" w:rsidP="00773C68">
      <w:pPr>
        <w:spacing w:after="160" w:line="259" w:lineRule="auto"/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br w:type="page"/>
      </w:r>
    </w:p>
    <w:p w14:paraId="043620C2" w14:textId="77777777" w:rsidR="00773C68" w:rsidRDefault="00773C68" w:rsidP="00773C68">
      <w:r>
        <w:rPr>
          <w:b/>
          <w:i/>
        </w:rPr>
        <w:lastRenderedPageBreak/>
        <w:t>Script de mise à jour des communes</w:t>
      </w:r>
      <w:r>
        <w:t xml:space="preserve"> </w:t>
      </w:r>
    </w:p>
    <w:p w14:paraId="2B936CB3" w14:textId="77777777" w:rsidR="00473456" w:rsidRDefault="00773C68" w:rsidP="00473456">
      <w:pPr>
        <w:rPr>
          <w:rFonts w:ascii="Calibri" w:hAnsi="Calibri"/>
          <w:color w:val="1F497D"/>
          <w:sz w:val="22"/>
          <w:szCs w:val="22"/>
          <w:lang w:eastAsia="en-US"/>
        </w:rPr>
      </w:pPr>
      <w:r w:rsidRPr="00773C68">
        <w:rPr>
          <w:rFonts w:ascii="Calibri" w:hAnsi="Calibri"/>
          <w:b/>
          <w:color w:val="1F497D"/>
          <w:sz w:val="22"/>
          <w:szCs w:val="22"/>
          <w:lang w:eastAsia="en-US"/>
        </w:rPr>
        <w:t>Prérequis</w:t>
      </w:r>
      <w:r>
        <w:rPr>
          <w:rFonts w:ascii="Calibri" w:hAnsi="Calibri"/>
          <w:color w:val="1F497D"/>
          <w:sz w:val="22"/>
          <w:szCs w:val="22"/>
          <w:lang w:eastAsia="en-US"/>
        </w:rPr>
        <w:t> : Migratio doit être configuré sur le poste et les librairies APGMAQUA et ACOMMUNES doivent être déclarées</w:t>
      </w:r>
    </w:p>
    <w:p w14:paraId="51BDC7AC" w14:textId="77777777" w:rsidR="00473456" w:rsidRPr="004F0603" w:rsidRDefault="00473456" w:rsidP="00473456">
      <w:pPr>
        <w:rPr>
          <w:rFonts w:ascii="Calibri" w:hAnsi="Calibri"/>
          <w:i/>
          <w:color w:val="C00000"/>
          <w:sz w:val="22"/>
          <w:szCs w:val="22"/>
          <w:lang w:eastAsia="en-US"/>
        </w:rPr>
      </w:pPr>
      <w:r w:rsidRPr="004F0603">
        <w:rPr>
          <w:rFonts w:ascii="Calibri" w:hAnsi="Calibri"/>
          <w:i/>
          <w:color w:val="C00000"/>
          <w:sz w:val="22"/>
          <w:szCs w:val="22"/>
          <w:lang w:eastAsia="en-US"/>
        </w:rPr>
        <w:t>Tab TEMP.TestCommunes ;</w:t>
      </w:r>
    </w:p>
    <w:p w14:paraId="78A1F79C" w14:textId="77777777" w:rsidR="00473456" w:rsidRPr="004F0603" w:rsidRDefault="00473456" w:rsidP="00473456">
      <w:pPr>
        <w:rPr>
          <w:rFonts w:ascii="Calibri" w:hAnsi="Calibri"/>
          <w:i/>
          <w:color w:val="C00000"/>
          <w:sz w:val="22"/>
          <w:szCs w:val="22"/>
          <w:lang w:eastAsia="en-US"/>
        </w:rPr>
      </w:pPr>
      <w:r w:rsidRPr="004F0603">
        <w:rPr>
          <w:rFonts w:ascii="Calibri" w:hAnsi="Calibri"/>
          <w:i/>
          <w:color w:val="C00000"/>
          <w:sz w:val="22"/>
          <w:szCs w:val="22"/>
          <w:lang w:eastAsia="en-US"/>
        </w:rPr>
        <w:t>  Ouvre ACOMMUNES.CommunesMetropoleMercator ;</w:t>
      </w:r>
    </w:p>
    <w:p w14:paraId="78A50B9D" w14:textId="77777777" w:rsidR="00473456" w:rsidRPr="004F0603" w:rsidRDefault="00473456" w:rsidP="00473456">
      <w:pPr>
        <w:rPr>
          <w:rFonts w:ascii="Calibri" w:hAnsi="Calibri"/>
          <w:i/>
          <w:color w:val="C00000"/>
          <w:sz w:val="22"/>
          <w:szCs w:val="22"/>
          <w:lang w:val="en-US" w:eastAsia="en-US"/>
        </w:rPr>
      </w:pPr>
      <w:r w:rsidRPr="004F0603">
        <w:rPr>
          <w:rFonts w:ascii="Calibri" w:hAnsi="Calibri"/>
          <w:i/>
          <w:color w:val="C00000"/>
          <w:sz w:val="22"/>
          <w:szCs w:val="22"/>
          <w:lang w:eastAsia="en-US"/>
        </w:rPr>
        <w:t xml:space="preserve">  </w:t>
      </w:r>
      <w:r w:rsidRPr="004F0603">
        <w:rPr>
          <w:rFonts w:ascii="Calibri" w:hAnsi="Calibri"/>
          <w:i/>
          <w:color w:val="C00000"/>
          <w:sz w:val="22"/>
          <w:szCs w:val="22"/>
          <w:lang w:val="en-US" w:eastAsia="en-US"/>
        </w:rPr>
        <w:t>Where RefBE In (xxx,yyy) ;</w:t>
      </w:r>
    </w:p>
    <w:p w14:paraId="6EBB6E42" w14:textId="77777777" w:rsidR="00473456" w:rsidRPr="004F0603" w:rsidRDefault="00473456" w:rsidP="00473456">
      <w:pPr>
        <w:rPr>
          <w:rFonts w:ascii="Calibri" w:hAnsi="Calibri"/>
          <w:i/>
          <w:color w:val="C00000"/>
          <w:sz w:val="22"/>
          <w:szCs w:val="22"/>
          <w:lang w:eastAsia="en-US"/>
        </w:rPr>
      </w:pPr>
      <w:r w:rsidRPr="004F0603">
        <w:rPr>
          <w:rFonts w:ascii="Calibri" w:hAnsi="Calibri"/>
          <w:i/>
          <w:color w:val="C00000"/>
          <w:sz w:val="22"/>
          <w:szCs w:val="22"/>
          <w:lang w:eastAsia="en-US"/>
        </w:rPr>
        <w:t>Fintab ;</w:t>
      </w:r>
    </w:p>
    <w:p w14:paraId="2781CD4B" w14:textId="77777777" w:rsidR="00473456" w:rsidRPr="004F0603" w:rsidRDefault="00473456" w:rsidP="00473456">
      <w:pPr>
        <w:rPr>
          <w:rFonts w:ascii="Calibri" w:hAnsi="Calibri"/>
          <w:i/>
          <w:color w:val="C00000"/>
          <w:sz w:val="22"/>
          <w:szCs w:val="22"/>
          <w:lang w:eastAsia="en-US"/>
        </w:rPr>
      </w:pPr>
    </w:p>
    <w:p w14:paraId="39AD7EB4" w14:textId="77777777" w:rsidR="00473456" w:rsidRPr="004F0603" w:rsidRDefault="00473456" w:rsidP="00473456">
      <w:pPr>
        <w:rPr>
          <w:rFonts w:ascii="Calibri" w:hAnsi="Calibri"/>
          <w:i/>
          <w:color w:val="C00000"/>
          <w:sz w:val="22"/>
          <w:szCs w:val="22"/>
          <w:lang w:eastAsia="en-US"/>
        </w:rPr>
      </w:pPr>
      <w:r w:rsidRPr="004F0603">
        <w:rPr>
          <w:rFonts w:ascii="Calibri" w:hAnsi="Calibri"/>
          <w:i/>
          <w:color w:val="C00000"/>
          <w:sz w:val="22"/>
          <w:szCs w:val="22"/>
          <w:lang w:eastAsia="en-US"/>
        </w:rPr>
        <w:t>%INCLU(APGMAQUA.C99-Subroutines);</w:t>
      </w:r>
    </w:p>
    <w:p w14:paraId="4FE28BAB" w14:textId="77777777" w:rsidR="00473456" w:rsidRPr="004F0603" w:rsidRDefault="00473456" w:rsidP="00473456">
      <w:pPr>
        <w:rPr>
          <w:rFonts w:ascii="Calibri" w:hAnsi="Calibri"/>
          <w:i/>
          <w:color w:val="C00000"/>
          <w:sz w:val="22"/>
          <w:szCs w:val="22"/>
          <w:lang w:eastAsia="en-US"/>
        </w:rPr>
      </w:pPr>
      <w:r w:rsidRPr="004F0603">
        <w:rPr>
          <w:rFonts w:ascii="Calibri" w:hAnsi="Calibri"/>
          <w:i/>
          <w:color w:val="C00000"/>
          <w:sz w:val="22"/>
          <w:szCs w:val="22"/>
          <w:lang w:eastAsia="en-US"/>
        </w:rPr>
        <w:t>%let zone = all  ;</w:t>
      </w:r>
    </w:p>
    <w:p w14:paraId="4114F584" w14:textId="77777777" w:rsidR="00473456" w:rsidRPr="004F0603" w:rsidRDefault="00473456" w:rsidP="00473456">
      <w:pPr>
        <w:rPr>
          <w:rFonts w:ascii="Calibri" w:hAnsi="Calibri"/>
          <w:i/>
          <w:color w:val="C00000"/>
          <w:sz w:val="22"/>
          <w:szCs w:val="22"/>
          <w:lang w:eastAsia="en-US"/>
        </w:rPr>
      </w:pPr>
      <w:r w:rsidRPr="004F0603">
        <w:rPr>
          <w:rFonts w:ascii="Calibri" w:hAnsi="Calibri"/>
          <w:i/>
          <w:color w:val="C00000"/>
          <w:sz w:val="22"/>
          <w:szCs w:val="22"/>
          <w:lang w:eastAsia="en-US"/>
        </w:rPr>
        <w:t>%EXPORTZONEBESQL(&amp;zone, TEMP.TestCommunes ,1,PROD);</w:t>
      </w:r>
    </w:p>
    <w:p w14:paraId="5C1B8CFD" w14:textId="77777777" w:rsidR="00773C68" w:rsidRDefault="00773C68">
      <w:pPr>
        <w:spacing w:after="160" w:line="259" w:lineRule="auto"/>
        <w:rPr>
          <w:rFonts w:ascii="Calibri" w:hAnsi="Calibri"/>
          <w:color w:val="1F497D"/>
          <w:sz w:val="22"/>
          <w:szCs w:val="22"/>
          <w:lang w:eastAsia="en-US"/>
        </w:rPr>
      </w:pPr>
      <w:r>
        <w:rPr>
          <w:rFonts w:ascii="Calibri" w:hAnsi="Calibri"/>
          <w:color w:val="1F497D"/>
          <w:sz w:val="22"/>
          <w:szCs w:val="22"/>
          <w:lang w:eastAsia="en-US"/>
        </w:rPr>
        <w:br w:type="page"/>
      </w:r>
    </w:p>
    <w:p w14:paraId="27FC9D0E" w14:textId="77777777" w:rsidR="00773C68" w:rsidRDefault="00773C68" w:rsidP="00773C68">
      <w:pPr>
        <w:pStyle w:val="Titre"/>
        <w:jc w:val="center"/>
      </w:pPr>
      <w:r>
        <w:lastRenderedPageBreak/>
        <w:t>Création de compte Salarié de Franchisé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1817"/>
        <w:gridCol w:w="1118"/>
        <w:gridCol w:w="1644"/>
        <w:gridCol w:w="3573"/>
      </w:tblGrid>
      <w:tr w:rsidR="00773C68" w14:paraId="051F9C70" w14:textId="77777777" w:rsidTr="0064462C">
        <w:trPr>
          <w:jc w:val="center"/>
        </w:trPr>
        <w:tc>
          <w:tcPr>
            <w:tcW w:w="910" w:type="dxa"/>
            <w:shd w:val="clear" w:color="auto" w:fill="E7E6E6" w:themeFill="background2"/>
          </w:tcPr>
          <w:p w14:paraId="2121DF14" w14:textId="77777777" w:rsidR="00773C68" w:rsidRPr="003C24A5" w:rsidRDefault="00773C68" w:rsidP="0064462C">
            <w:pPr>
              <w:jc w:val="center"/>
              <w:rPr>
                <w:b/>
              </w:rPr>
            </w:pPr>
            <w:r w:rsidRPr="003C24A5">
              <w:rPr>
                <w:b/>
              </w:rPr>
              <w:t>Etapes</w:t>
            </w:r>
          </w:p>
        </w:tc>
        <w:tc>
          <w:tcPr>
            <w:tcW w:w="1817" w:type="dxa"/>
            <w:shd w:val="clear" w:color="auto" w:fill="E7E6E6" w:themeFill="background2"/>
          </w:tcPr>
          <w:p w14:paraId="2B77D690" w14:textId="77777777" w:rsidR="00773C68" w:rsidRPr="003C24A5" w:rsidRDefault="00773C68" w:rsidP="0064462C">
            <w:pPr>
              <w:jc w:val="center"/>
              <w:rPr>
                <w:b/>
              </w:rPr>
            </w:pPr>
            <w:r w:rsidRPr="003C24A5">
              <w:rPr>
                <w:b/>
              </w:rPr>
              <w:t>Environnement</w:t>
            </w:r>
          </w:p>
        </w:tc>
        <w:tc>
          <w:tcPr>
            <w:tcW w:w="1118" w:type="dxa"/>
            <w:shd w:val="clear" w:color="auto" w:fill="E7E6E6" w:themeFill="background2"/>
          </w:tcPr>
          <w:p w14:paraId="2F6F130D" w14:textId="77777777" w:rsidR="00773C68" w:rsidRPr="003C24A5" w:rsidRDefault="00773C68" w:rsidP="0064462C">
            <w:pPr>
              <w:jc w:val="center"/>
              <w:rPr>
                <w:b/>
              </w:rPr>
            </w:pPr>
            <w:r w:rsidRPr="003C24A5">
              <w:rPr>
                <w:b/>
              </w:rPr>
              <w:t>Acteur</w:t>
            </w:r>
          </w:p>
        </w:tc>
        <w:tc>
          <w:tcPr>
            <w:tcW w:w="1644" w:type="dxa"/>
            <w:shd w:val="clear" w:color="auto" w:fill="E7E6E6" w:themeFill="background2"/>
          </w:tcPr>
          <w:p w14:paraId="533AB12A" w14:textId="77777777" w:rsidR="00773C68" w:rsidRPr="003C24A5" w:rsidRDefault="00773C68" w:rsidP="0064462C">
            <w:pPr>
              <w:jc w:val="center"/>
              <w:rPr>
                <w:b/>
              </w:rPr>
            </w:pPr>
            <w:r w:rsidRPr="003C24A5">
              <w:rPr>
                <w:b/>
              </w:rPr>
              <w:t>Description</w:t>
            </w:r>
          </w:p>
        </w:tc>
        <w:tc>
          <w:tcPr>
            <w:tcW w:w="3573" w:type="dxa"/>
            <w:shd w:val="clear" w:color="auto" w:fill="E7E6E6" w:themeFill="background2"/>
          </w:tcPr>
          <w:p w14:paraId="0DAB7120" w14:textId="77777777" w:rsidR="00773C68" w:rsidRPr="003C24A5" w:rsidRDefault="00773C68" w:rsidP="0064462C">
            <w:pPr>
              <w:jc w:val="center"/>
              <w:rPr>
                <w:b/>
              </w:rPr>
            </w:pPr>
            <w:r w:rsidRPr="003C24A5">
              <w:rPr>
                <w:b/>
              </w:rPr>
              <w:t>Détail</w:t>
            </w:r>
          </w:p>
        </w:tc>
      </w:tr>
      <w:tr w:rsidR="00773C68" w14:paraId="1EEA7875" w14:textId="77777777" w:rsidTr="0064462C">
        <w:trPr>
          <w:jc w:val="center"/>
        </w:trPr>
        <w:tc>
          <w:tcPr>
            <w:tcW w:w="910" w:type="dxa"/>
          </w:tcPr>
          <w:p w14:paraId="28C136ED" w14:textId="77777777" w:rsidR="00773C68" w:rsidRDefault="00773C68" w:rsidP="0064462C">
            <w:r>
              <w:t>1</w:t>
            </w:r>
          </w:p>
        </w:tc>
        <w:tc>
          <w:tcPr>
            <w:tcW w:w="1817" w:type="dxa"/>
          </w:tcPr>
          <w:p w14:paraId="1764EB75" w14:textId="77777777" w:rsidR="00773C68" w:rsidRDefault="00773C68" w:rsidP="0064462C"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OVH</w:t>
            </w:r>
          </w:p>
        </w:tc>
        <w:tc>
          <w:tcPr>
            <w:tcW w:w="1118" w:type="dxa"/>
            <w:shd w:val="clear" w:color="auto" w:fill="00B0F0"/>
          </w:tcPr>
          <w:p w14:paraId="15A99450" w14:textId="77777777" w:rsidR="00773C68" w:rsidRDefault="00773C68" w:rsidP="0064462C">
            <w:r>
              <w:t>SI</w:t>
            </w:r>
          </w:p>
        </w:tc>
        <w:tc>
          <w:tcPr>
            <w:tcW w:w="1644" w:type="dxa"/>
          </w:tcPr>
          <w:p w14:paraId="25AB8C5E" w14:textId="77777777" w:rsidR="00773C68" w:rsidRDefault="00773C68" w:rsidP="0064462C"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Création de l'adresse Mail sur OVH</w:t>
            </w:r>
          </w:p>
        </w:tc>
        <w:tc>
          <w:tcPr>
            <w:tcW w:w="3573" w:type="dxa"/>
          </w:tcPr>
          <w:p w14:paraId="4134BAAE" w14:textId="77777777" w:rsidR="00773C68" w:rsidRDefault="00773C68" w:rsidP="0064462C"/>
        </w:tc>
      </w:tr>
      <w:tr w:rsidR="00773C68" w14:paraId="4692F2EC" w14:textId="77777777" w:rsidTr="0064462C">
        <w:trPr>
          <w:jc w:val="center"/>
        </w:trPr>
        <w:tc>
          <w:tcPr>
            <w:tcW w:w="910" w:type="dxa"/>
          </w:tcPr>
          <w:p w14:paraId="241BF2C7" w14:textId="77777777" w:rsidR="00773C68" w:rsidRDefault="00773C68" w:rsidP="0064462C">
            <w:r>
              <w:t>2</w:t>
            </w:r>
          </w:p>
        </w:tc>
        <w:tc>
          <w:tcPr>
            <w:tcW w:w="1817" w:type="dxa"/>
          </w:tcPr>
          <w:p w14:paraId="5F3D80B3" w14:textId="77777777" w:rsidR="00773C68" w:rsidRDefault="00773C68" w:rsidP="0064462C"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MailInBlack</w:t>
            </w:r>
          </w:p>
        </w:tc>
        <w:tc>
          <w:tcPr>
            <w:tcW w:w="1118" w:type="dxa"/>
          </w:tcPr>
          <w:p w14:paraId="557F4D02" w14:textId="77777777" w:rsidR="00773C68" w:rsidRDefault="00773C68" w:rsidP="0064462C">
            <w:r>
              <w:t>Edwige</w:t>
            </w:r>
          </w:p>
        </w:tc>
        <w:tc>
          <w:tcPr>
            <w:tcW w:w="1644" w:type="dxa"/>
          </w:tcPr>
          <w:p w14:paraId="0FBA3AD8" w14:textId="77777777" w:rsidR="00773C68" w:rsidRDefault="00773C68" w:rsidP="0064462C">
            <w:r w:rsidRPr="00473456"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Ajout à Mailinblack</w:t>
            </w:r>
          </w:p>
        </w:tc>
        <w:tc>
          <w:tcPr>
            <w:tcW w:w="3573" w:type="dxa"/>
          </w:tcPr>
          <w:p w14:paraId="76702045" w14:textId="77777777" w:rsidR="00773C68" w:rsidRDefault="00773C68" w:rsidP="0064462C"/>
        </w:tc>
      </w:tr>
      <w:tr w:rsidR="00773C68" w14:paraId="4F8F9C8C" w14:textId="77777777" w:rsidTr="0064462C">
        <w:trPr>
          <w:jc w:val="center"/>
        </w:trPr>
        <w:tc>
          <w:tcPr>
            <w:tcW w:w="910" w:type="dxa"/>
          </w:tcPr>
          <w:p w14:paraId="0E7E2B51" w14:textId="77777777" w:rsidR="00773C68" w:rsidRDefault="00773C68" w:rsidP="0064462C">
            <w:r>
              <w:t>3</w:t>
            </w:r>
          </w:p>
        </w:tc>
        <w:tc>
          <w:tcPr>
            <w:tcW w:w="1817" w:type="dxa"/>
          </w:tcPr>
          <w:p w14:paraId="19508544" w14:textId="77777777" w:rsidR="00773C68" w:rsidRDefault="00773C68" w:rsidP="0064462C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BDD FactorNET</w:t>
            </w:r>
          </w:p>
        </w:tc>
        <w:tc>
          <w:tcPr>
            <w:tcW w:w="1118" w:type="dxa"/>
          </w:tcPr>
          <w:p w14:paraId="41153614" w14:textId="77777777" w:rsidR="00773C68" w:rsidRDefault="00773C68" w:rsidP="0064462C">
            <w:r>
              <w:t>SI</w:t>
            </w:r>
          </w:p>
        </w:tc>
        <w:tc>
          <w:tcPr>
            <w:tcW w:w="1644" w:type="dxa"/>
          </w:tcPr>
          <w:p w14:paraId="65C875D4" w14:textId="77777777" w:rsidR="00773C68" w:rsidRPr="00473456" w:rsidRDefault="00773C68" w:rsidP="0064462C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  <w:r w:rsidRPr="00C40125"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Création du compte</w:t>
            </w:r>
          </w:p>
        </w:tc>
        <w:tc>
          <w:tcPr>
            <w:tcW w:w="3573" w:type="dxa"/>
          </w:tcPr>
          <w:p w14:paraId="565D3AAE" w14:textId="77777777" w:rsidR="00773C68" w:rsidRDefault="00773C68" w:rsidP="0064462C">
            <w:r>
              <w:t xml:space="preserve">Passage du script SQL ci-dessous en changeant les </w:t>
            </w:r>
            <w:r w:rsidR="00B1586E"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valeurs des champs en bleu.</w:t>
            </w:r>
          </w:p>
          <w:p w14:paraId="51A0F7EE" w14:textId="77777777" w:rsidR="00773C68" w:rsidRDefault="00773C68" w:rsidP="0064462C"/>
          <w:p w14:paraId="275453AF" w14:textId="77777777" w:rsidR="00B1586E" w:rsidRDefault="00B1586E" w:rsidP="0064462C">
            <w:r>
              <w:t>Le mot de passe peut-être défini grâce au script ci-dessous.</w:t>
            </w:r>
          </w:p>
          <w:p w14:paraId="691B1B77" w14:textId="77777777" w:rsidR="00B1586E" w:rsidRDefault="00B1586E" w:rsidP="0064462C"/>
          <w:p w14:paraId="4FF99B97" w14:textId="77777777" w:rsidR="00773C68" w:rsidRDefault="00773C68" w:rsidP="00773C68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Choix du serveur : wm727-001.privatesql</w:t>
            </w:r>
          </w:p>
          <w:p w14:paraId="35D2D742" w14:textId="77777777" w:rsidR="00773C68" w:rsidRDefault="00773C68" w:rsidP="00773C68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                Port : 35254</w:t>
            </w:r>
          </w:p>
          <w:p w14:paraId="7498CBED" w14:textId="77777777" w:rsidR="00773C68" w:rsidRDefault="00773C68" w:rsidP="00773C68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                User : jardinsawprod</w:t>
            </w:r>
          </w:p>
          <w:p w14:paraId="24D431D8" w14:textId="77777777" w:rsidR="00773C68" w:rsidRDefault="00773C68" w:rsidP="00773C68">
            <w:pP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 xml:space="preserve">                pwd : </w:t>
            </w:r>
            <w:r w:rsidRPr="00C40125">
              <w:rPr>
                <w:rFonts w:ascii="Calibri" w:hAnsi="Calibri"/>
                <w:color w:val="1F497D"/>
                <w:sz w:val="22"/>
                <w:szCs w:val="22"/>
                <w:lang w:eastAsia="en-US"/>
              </w:rPr>
              <w:t>roseau353567</w:t>
            </w:r>
          </w:p>
          <w:p w14:paraId="7B88F0ED" w14:textId="77777777" w:rsidR="00773C68" w:rsidRDefault="00773C68" w:rsidP="0064462C"/>
        </w:tc>
      </w:tr>
    </w:tbl>
    <w:p w14:paraId="537588CA" w14:textId="77777777" w:rsidR="00473456" w:rsidRDefault="00473456" w:rsidP="00473456">
      <w:pPr>
        <w:rPr>
          <w:rFonts w:ascii="Calibri" w:hAnsi="Calibri"/>
          <w:color w:val="1F497D"/>
          <w:sz w:val="22"/>
          <w:szCs w:val="22"/>
          <w:lang w:eastAsia="en-US"/>
        </w:rPr>
      </w:pPr>
    </w:p>
    <w:p w14:paraId="5F0D96BB" w14:textId="77777777" w:rsidR="00B1586E" w:rsidRDefault="00B1586E" w:rsidP="00B1586E">
      <w:r w:rsidRPr="00773C68">
        <w:rPr>
          <w:b/>
          <w:i/>
        </w:rPr>
        <w:t xml:space="preserve">Script </w:t>
      </w:r>
      <w:r>
        <w:rPr>
          <w:b/>
          <w:i/>
        </w:rPr>
        <w:t xml:space="preserve">SQL </w:t>
      </w:r>
      <w:r w:rsidRPr="00773C68">
        <w:rPr>
          <w:b/>
          <w:i/>
        </w:rPr>
        <w:t xml:space="preserve">de </w:t>
      </w:r>
      <w:r>
        <w:rPr>
          <w:b/>
          <w:i/>
        </w:rPr>
        <w:t>génération du mot de passe</w:t>
      </w:r>
      <w:r>
        <w:t xml:space="preserve"> </w:t>
      </w:r>
    </w:p>
    <w:p w14:paraId="275C6C9C" w14:textId="77777777" w:rsidR="00B1586E" w:rsidRDefault="00B1586E" w:rsidP="00773C68">
      <w:pPr>
        <w:rPr>
          <w:b/>
          <w:i/>
        </w:rPr>
      </w:pPr>
    </w:p>
    <w:p w14:paraId="1FBF6CFF" w14:textId="77777777" w:rsidR="00B1586E" w:rsidRPr="00B1586E" w:rsidRDefault="00B1586E" w:rsidP="00B1586E">
      <w:pPr>
        <w:rPr>
          <w:rFonts w:ascii="Calibri" w:hAnsi="Calibri"/>
          <w:i/>
          <w:color w:val="000000"/>
          <w:sz w:val="22"/>
          <w:szCs w:val="22"/>
        </w:rPr>
      </w:pPr>
      <w:r w:rsidRPr="00B1586E">
        <w:rPr>
          <w:rFonts w:ascii="Calibri" w:hAnsi="Calibri"/>
          <w:i/>
          <w:color w:val="C00000"/>
          <w:sz w:val="22"/>
          <w:szCs w:val="22"/>
        </w:rPr>
        <w:t>Select md5('ANTJnTKsaVfxVtYNIpWt16MYKOspdjGJanpuCQTfu58qTzS0S7qZ5iDE</w:t>
      </w:r>
      <w:r w:rsidRPr="00B1586E">
        <w:rPr>
          <w:rFonts w:ascii="Calibri" w:hAnsi="Calibri"/>
          <w:i/>
          <w:color w:val="1F4E79" w:themeColor="accent1" w:themeShade="80"/>
          <w:sz w:val="22"/>
          <w:szCs w:val="22"/>
        </w:rPr>
        <w:t>HFrances35!</w:t>
      </w:r>
      <w:r w:rsidRPr="00B1586E">
        <w:rPr>
          <w:rFonts w:ascii="Calibri" w:hAnsi="Calibri"/>
          <w:i/>
          <w:color w:val="C00000"/>
          <w:sz w:val="22"/>
          <w:szCs w:val="22"/>
        </w:rPr>
        <w:t>')</w:t>
      </w:r>
    </w:p>
    <w:p w14:paraId="0DC541B1" w14:textId="77777777" w:rsidR="00B1586E" w:rsidRDefault="00B1586E" w:rsidP="00773C68">
      <w:pPr>
        <w:rPr>
          <w:b/>
          <w:i/>
        </w:rPr>
      </w:pPr>
    </w:p>
    <w:p w14:paraId="6375C89D" w14:textId="77777777" w:rsidR="00773C68" w:rsidRDefault="00773C68" w:rsidP="00773C68">
      <w:r w:rsidRPr="00773C68">
        <w:rPr>
          <w:b/>
          <w:i/>
        </w:rPr>
        <w:t xml:space="preserve">Script </w:t>
      </w:r>
      <w:r>
        <w:rPr>
          <w:b/>
          <w:i/>
        </w:rPr>
        <w:t xml:space="preserve">SQL </w:t>
      </w:r>
      <w:r w:rsidRPr="00773C68">
        <w:rPr>
          <w:b/>
          <w:i/>
        </w:rPr>
        <w:t xml:space="preserve">de </w:t>
      </w:r>
      <w:r>
        <w:rPr>
          <w:b/>
          <w:i/>
        </w:rPr>
        <w:t>création de salarié</w:t>
      </w:r>
      <w:r>
        <w:t xml:space="preserve"> </w:t>
      </w:r>
    </w:p>
    <w:p w14:paraId="389E1A68" w14:textId="77777777" w:rsidR="00773C68" w:rsidRDefault="00773C68" w:rsidP="00773C68"/>
    <w:p w14:paraId="2467ECC9" w14:textId="77777777" w:rsidR="00773C68" w:rsidRPr="00B1586E" w:rsidRDefault="00773C68" w:rsidP="00773C68">
      <w:pPr>
        <w:rPr>
          <w:i/>
          <w:color w:val="C00000"/>
          <w:sz w:val="20"/>
          <w:szCs w:val="20"/>
        </w:rPr>
      </w:pPr>
      <w:r w:rsidRPr="00B1586E">
        <w:rPr>
          <w:i/>
          <w:color w:val="C00000"/>
          <w:sz w:val="20"/>
          <w:szCs w:val="20"/>
        </w:rPr>
        <w:t>INSERT INTO TBECompte (`RefBE`, `RefBEParent`,`RefPrestashop`,`RefGuide`, `RefProfil`, `Courriel`, `pwd`, IsPwdToChange, `Actif`, IsSARL, IsQuadraSARL, `SIRET`, `Statut`, `Capital`, `RCS`, `CodeAPE`, `NTVA`, `Acompte`, `TVA293B`, `ReventePiece`, `IsAssurance`, `CompteTVA`, `CodeJournal`, `CompteTVA2`, `AdheIdentifiant`, `DATE_MODIF`, `DATE_CREATION`) VALUES</w:t>
      </w:r>
    </w:p>
    <w:p w14:paraId="41F3AF2A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  <w:r w:rsidRPr="00B1586E">
        <w:rPr>
          <w:i/>
          <w:color w:val="C00000"/>
          <w:sz w:val="20"/>
          <w:szCs w:val="20"/>
          <w:lang w:val="en-US"/>
        </w:rPr>
        <w:t>(</w:t>
      </w:r>
      <w:r w:rsidRPr="00B1586E">
        <w:rPr>
          <w:i/>
          <w:color w:val="1F4E79" w:themeColor="accent1" w:themeShade="80"/>
          <w:sz w:val="20"/>
          <w:szCs w:val="20"/>
          <w:lang w:val="en-US"/>
        </w:rPr>
        <w:t>11272, 11238, 291, 324</w:t>
      </w:r>
      <w:r w:rsidRPr="00B1586E">
        <w:rPr>
          <w:i/>
          <w:color w:val="C00000"/>
          <w:sz w:val="20"/>
          <w:szCs w:val="20"/>
          <w:lang w:val="en-US"/>
        </w:rPr>
        <w:t xml:space="preserve">, 8, </w:t>
      </w:r>
      <w:r w:rsidRPr="00B1586E">
        <w:rPr>
          <w:i/>
          <w:color w:val="1F4E79" w:themeColor="accent1" w:themeShade="80"/>
          <w:sz w:val="20"/>
          <w:szCs w:val="20"/>
          <w:lang w:val="en-US"/>
        </w:rPr>
        <w:t>'hadrien.frances@aquatiris.fr'</w:t>
      </w:r>
      <w:r w:rsidRPr="00B1586E">
        <w:rPr>
          <w:i/>
          <w:color w:val="C00000"/>
          <w:sz w:val="20"/>
          <w:szCs w:val="20"/>
          <w:lang w:val="en-US"/>
        </w:rPr>
        <w:t xml:space="preserve">, </w:t>
      </w:r>
      <w:r w:rsidRPr="00B1586E">
        <w:rPr>
          <w:i/>
          <w:color w:val="1F4E79" w:themeColor="accent1" w:themeShade="80"/>
          <w:sz w:val="20"/>
          <w:szCs w:val="20"/>
          <w:lang w:val="en-US"/>
        </w:rPr>
        <w:t>'a904181ac96212a20deac897fbdc0efa'</w:t>
      </w:r>
      <w:r w:rsidRPr="00B1586E">
        <w:rPr>
          <w:i/>
          <w:color w:val="C00000"/>
          <w:sz w:val="20"/>
          <w:szCs w:val="20"/>
          <w:lang w:val="en-US"/>
        </w:rPr>
        <w:t>, 0, 1, 0, 0, '', '', '', '', '', '', '', 0, 0, 1, NULL, NULL, NULL, NULL, now(), now());</w:t>
      </w:r>
    </w:p>
    <w:p w14:paraId="3C93B76C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</w:p>
    <w:p w14:paraId="09F089EC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  <w:r w:rsidRPr="00B1586E">
        <w:rPr>
          <w:i/>
          <w:color w:val="C00000"/>
          <w:sz w:val="20"/>
          <w:szCs w:val="20"/>
          <w:lang w:val="en-US"/>
        </w:rPr>
        <w:t>INSERT INTO TBECoordonnees (`RefBE`, `CodeBE`, `CodeBE2020`, `Nom`, `Prenom`, `Adresse1`, `Adresse2`, `NomEntreprise`, `CP`, `Ville`, `PAYS`, `CodeCommune`, `TelFixe`, `TelPortable`, `Dept`, `latitude`, `longitude`, `search_count_latlng`, `ISO_30`, `ISO_60`, `DATE_MODIF`, `DATE_CREATION`) VALUES</w:t>
      </w:r>
    </w:p>
    <w:p w14:paraId="6BE7D47C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  <w:r w:rsidRPr="00B1586E">
        <w:rPr>
          <w:i/>
          <w:color w:val="C00000"/>
          <w:sz w:val="20"/>
          <w:szCs w:val="20"/>
          <w:lang w:val="en-US"/>
        </w:rPr>
        <w:t>(</w:t>
      </w:r>
      <w:r w:rsidRPr="00B1586E">
        <w:rPr>
          <w:i/>
          <w:color w:val="1F4E79" w:themeColor="accent1" w:themeShade="80"/>
          <w:sz w:val="20"/>
          <w:szCs w:val="20"/>
          <w:lang w:val="en-US"/>
        </w:rPr>
        <w:t>11272, '35HF', '35HF', 'FRANCES', 'Hadrien', 'Le Haut Houx', '', 'FIL D\'Ô', '35560', 'Bazouges-la-Pérouse', 'FR', 35019, '', '06 14 31 11 26', '35,22,53',48.4328,-1.52196</w:t>
      </w:r>
      <w:r w:rsidRPr="00B1586E">
        <w:rPr>
          <w:i/>
          <w:color w:val="C00000"/>
          <w:sz w:val="20"/>
          <w:szCs w:val="20"/>
          <w:lang w:val="en-US"/>
        </w:rPr>
        <w:t>, 0, NULL, NULL, now(), now());</w:t>
      </w:r>
    </w:p>
    <w:p w14:paraId="37CF8A44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</w:p>
    <w:p w14:paraId="2FF817DD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  <w:r w:rsidRPr="00B1586E">
        <w:rPr>
          <w:i/>
          <w:color w:val="C00000"/>
          <w:sz w:val="20"/>
          <w:szCs w:val="20"/>
          <w:lang w:val="en-US"/>
        </w:rPr>
        <w:t>INSERT INT</w:t>
      </w:r>
      <w:r w:rsidR="00A3067D">
        <w:rPr>
          <w:i/>
          <w:color w:val="C00000"/>
          <w:sz w:val="20"/>
          <w:szCs w:val="20"/>
          <w:lang w:val="en-US"/>
        </w:rPr>
        <w:t>O TBEParametres (`RefBE`,</w:t>
      </w:r>
      <w:r w:rsidRPr="00B1586E">
        <w:rPr>
          <w:i/>
          <w:color w:val="C00000"/>
          <w:sz w:val="20"/>
          <w:szCs w:val="20"/>
          <w:lang w:val="en-US"/>
        </w:rPr>
        <w:t xml:space="preserve"> `DATE_MODIF`, `DATE_CREATION`) VALUES</w:t>
      </w:r>
    </w:p>
    <w:p w14:paraId="5BB845DC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  <w:r w:rsidRPr="00B1586E">
        <w:rPr>
          <w:i/>
          <w:color w:val="C00000"/>
          <w:sz w:val="20"/>
          <w:szCs w:val="20"/>
          <w:lang w:val="en-US"/>
        </w:rPr>
        <w:t>(</w:t>
      </w:r>
      <w:r w:rsidRPr="00B1586E">
        <w:rPr>
          <w:i/>
          <w:color w:val="1F4E79" w:themeColor="accent1" w:themeShade="80"/>
          <w:sz w:val="20"/>
          <w:szCs w:val="20"/>
          <w:lang w:val="en-US"/>
        </w:rPr>
        <w:t>11272</w:t>
      </w:r>
      <w:r w:rsidR="00A3067D">
        <w:rPr>
          <w:i/>
          <w:color w:val="C00000"/>
          <w:sz w:val="20"/>
          <w:szCs w:val="20"/>
          <w:lang w:val="en-US"/>
        </w:rPr>
        <w:t xml:space="preserve">, </w:t>
      </w:r>
      <w:r w:rsidRPr="00B1586E">
        <w:rPr>
          <w:i/>
          <w:color w:val="C00000"/>
          <w:sz w:val="20"/>
          <w:szCs w:val="20"/>
          <w:lang w:val="en-US"/>
        </w:rPr>
        <w:t>now(), now());</w:t>
      </w:r>
    </w:p>
    <w:p w14:paraId="475CFB30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</w:p>
    <w:p w14:paraId="551D3A5A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  <w:r w:rsidRPr="00B1586E">
        <w:rPr>
          <w:i/>
          <w:color w:val="C00000"/>
          <w:sz w:val="20"/>
          <w:szCs w:val="20"/>
          <w:lang w:val="en-US"/>
        </w:rPr>
        <w:t xml:space="preserve">Set @BEReferent = </w:t>
      </w:r>
      <w:r w:rsidRPr="00B1586E">
        <w:rPr>
          <w:i/>
          <w:color w:val="1F4E79" w:themeColor="accent1" w:themeShade="80"/>
          <w:sz w:val="20"/>
          <w:szCs w:val="20"/>
          <w:lang w:val="en-US"/>
        </w:rPr>
        <w:t xml:space="preserve">11238 </w:t>
      </w:r>
      <w:r w:rsidRPr="00B1586E">
        <w:rPr>
          <w:i/>
          <w:color w:val="C00000"/>
          <w:sz w:val="20"/>
          <w:szCs w:val="20"/>
          <w:lang w:val="en-US"/>
        </w:rPr>
        <w:t>;</w:t>
      </w:r>
    </w:p>
    <w:p w14:paraId="5D546756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  <w:r w:rsidRPr="00B1586E">
        <w:rPr>
          <w:i/>
          <w:color w:val="C00000"/>
          <w:sz w:val="20"/>
          <w:szCs w:val="20"/>
          <w:lang w:val="en-US"/>
        </w:rPr>
        <w:t>Set @RefInstallUnique = NULL ;</w:t>
      </w:r>
    </w:p>
    <w:p w14:paraId="0A0D2384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  <w:r w:rsidRPr="00B1586E">
        <w:rPr>
          <w:i/>
          <w:color w:val="C00000"/>
          <w:sz w:val="20"/>
          <w:szCs w:val="20"/>
          <w:lang w:val="en-US"/>
        </w:rPr>
        <w:t xml:space="preserve">Set @RefBE = </w:t>
      </w:r>
      <w:r w:rsidRPr="00B1586E">
        <w:rPr>
          <w:i/>
          <w:color w:val="1F4E79" w:themeColor="accent1" w:themeShade="80"/>
          <w:sz w:val="20"/>
          <w:szCs w:val="20"/>
          <w:lang w:val="en-US"/>
        </w:rPr>
        <w:t xml:space="preserve">11272 </w:t>
      </w:r>
      <w:r w:rsidRPr="00B1586E">
        <w:rPr>
          <w:i/>
          <w:color w:val="C00000"/>
          <w:sz w:val="20"/>
          <w:szCs w:val="20"/>
          <w:lang w:val="en-US"/>
        </w:rPr>
        <w:t>;</w:t>
      </w:r>
    </w:p>
    <w:p w14:paraId="35182731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  <w:r w:rsidRPr="00B1586E">
        <w:rPr>
          <w:i/>
          <w:color w:val="C00000"/>
          <w:sz w:val="20"/>
          <w:szCs w:val="20"/>
          <w:lang w:val="en-US"/>
        </w:rPr>
        <w:t>Set @RefBESalarie = NULL ;</w:t>
      </w:r>
    </w:p>
    <w:p w14:paraId="7AA44B07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  <w:r w:rsidRPr="00B1586E">
        <w:rPr>
          <w:i/>
          <w:color w:val="C00000"/>
          <w:sz w:val="20"/>
          <w:szCs w:val="20"/>
          <w:lang w:val="en-US"/>
        </w:rPr>
        <w:t>INSERT INTO ACTUALITE_CHANNEL_ABONNES (channel_id, RefBE, RefBESalarie, RefInstallUnique, IsVue, DATE_MODIFICATION, DATE_CREATION, DATE_VUE, DATE_OLD_VUE)</w:t>
      </w:r>
    </w:p>
    <w:p w14:paraId="0BDF4FA5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  <w:r w:rsidRPr="00B1586E">
        <w:rPr>
          <w:i/>
          <w:color w:val="C00000"/>
          <w:sz w:val="20"/>
          <w:szCs w:val="20"/>
          <w:lang w:val="en-US"/>
        </w:rPr>
        <w:t xml:space="preserve">Select a.channel_id, @RefBE, @RefBESalarie, @RefInstallUnique, 0, NOW(), NOW(), '2017-01-01', '2017-01-01'  </w:t>
      </w:r>
    </w:p>
    <w:p w14:paraId="10FF2969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  <w:r w:rsidRPr="00B1586E">
        <w:rPr>
          <w:i/>
          <w:color w:val="C00000"/>
          <w:sz w:val="20"/>
          <w:szCs w:val="20"/>
          <w:lang w:val="en-US"/>
        </w:rPr>
        <w:t>From ACTUALITE_CHANNEL_ABONNES a</w:t>
      </w:r>
    </w:p>
    <w:p w14:paraId="27E46B07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  <w:r w:rsidRPr="00B1586E">
        <w:rPr>
          <w:i/>
          <w:color w:val="C00000"/>
          <w:sz w:val="20"/>
          <w:szCs w:val="20"/>
          <w:lang w:val="en-US"/>
        </w:rPr>
        <w:tab/>
        <w:t>inner join ACTUALITE_CHANNEL c on c.channel_id = a.channel_id</w:t>
      </w:r>
    </w:p>
    <w:p w14:paraId="00EAA2C5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  <w:r w:rsidRPr="00B1586E">
        <w:rPr>
          <w:i/>
          <w:color w:val="C00000"/>
          <w:sz w:val="20"/>
          <w:szCs w:val="20"/>
          <w:lang w:val="en-US"/>
        </w:rPr>
        <w:lastRenderedPageBreak/>
        <w:t>Where a.RefBE = @BEReferent and c.Actif = 1 and</w:t>
      </w:r>
    </w:p>
    <w:p w14:paraId="44730E06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  <w:r w:rsidRPr="00B1586E">
        <w:rPr>
          <w:i/>
          <w:color w:val="C00000"/>
          <w:sz w:val="20"/>
          <w:szCs w:val="20"/>
          <w:lang w:val="en-US"/>
        </w:rPr>
        <w:tab/>
        <w:t>not exists (select 1 from ACTUALITE_CHANNEL_ABONNES where channel_id = @channel_id and ifnull(a.RefBESalarie,0) = ifnull(@RefBESalarie,0) and not a.RefBESalarie is null and a.RefInstallUnique is null and a.RefBE is null) and</w:t>
      </w:r>
    </w:p>
    <w:p w14:paraId="0CEDC756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  <w:r w:rsidRPr="00B1586E">
        <w:rPr>
          <w:i/>
          <w:color w:val="C00000"/>
          <w:sz w:val="20"/>
          <w:szCs w:val="20"/>
          <w:lang w:val="en-US"/>
        </w:rPr>
        <w:tab/>
        <w:t>not exists (select 1 from ACTUALITE_CHANNEL_ABONNES where channel_id = @channel_id and ifnull(a.RefBE,0) = ifnull(@RefBE,0) and not RefBE is null and a.RefInstallUnique is null and a.RefBESalarie is null) and</w:t>
      </w:r>
    </w:p>
    <w:p w14:paraId="1904F44E" w14:textId="77777777" w:rsidR="00773C68" w:rsidRPr="00B1586E" w:rsidRDefault="00773C68" w:rsidP="00773C68">
      <w:pPr>
        <w:rPr>
          <w:i/>
          <w:color w:val="C00000"/>
          <w:sz w:val="20"/>
          <w:szCs w:val="20"/>
          <w:lang w:val="en-US"/>
        </w:rPr>
      </w:pPr>
      <w:r w:rsidRPr="00B1586E">
        <w:rPr>
          <w:i/>
          <w:color w:val="C00000"/>
          <w:sz w:val="20"/>
          <w:szCs w:val="20"/>
          <w:lang w:val="en-US"/>
        </w:rPr>
        <w:tab/>
        <w:t>not exists (select 1 from ACTUALITE_CHANNEL_ABONNES where channel_id = @channel_id and ifnull(a.RefInstallUnique,0) = ifnull(@RefInstallUnique,0) and not a.RefInstallUnique is null and a.RefBE is null and a.RefBESalarie is null);</w:t>
      </w:r>
    </w:p>
    <w:sectPr w:rsidR="00773C68" w:rsidRPr="00B15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59D5"/>
    <w:multiLevelType w:val="hybridMultilevel"/>
    <w:tmpl w:val="127A4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3D18"/>
    <w:multiLevelType w:val="hybridMultilevel"/>
    <w:tmpl w:val="0C9AC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13A65"/>
    <w:multiLevelType w:val="hybridMultilevel"/>
    <w:tmpl w:val="F4A62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C0674"/>
    <w:multiLevelType w:val="hybridMultilevel"/>
    <w:tmpl w:val="76AC2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288941">
    <w:abstractNumId w:val="0"/>
  </w:num>
  <w:num w:numId="2" w16cid:durableId="1785809277">
    <w:abstractNumId w:val="3"/>
  </w:num>
  <w:num w:numId="3" w16cid:durableId="637534846">
    <w:abstractNumId w:val="1"/>
  </w:num>
  <w:num w:numId="4" w16cid:durableId="700008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6F8"/>
    <w:rsid w:val="00473456"/>
    <w:rsid w:val="004F0603"/>
    <w:rsid w:val="00682AF4"/>
    <w:rsid w:val="00773C68"/>
    <w:rsid w:val="00A3067D"/>
    <w:rsid w:val="00B1586E"/>
    <w:rsid w:val="00C40125"/>
    <w:rsid w:val="00CE36F8"/>
    <w:rsid w:val="00CF56DF"/>
    <w:rsid w:val="00D2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D333A"/>
  <w15:chartTrackingRefBased/>
  <w15:docId w15:val="{2D97A24F-F234-4DEE-91A5-54879254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8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7345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73456"/>
    <w:pPr>
      <w:ind w:left="720"/>
    </w:pPr>
    <w:rPr>
      <w:rFonts w:eastAsiaTheme="minorHAnsi"/>
    </w:rPr>
  </w:style>
  <w:style w:type="table" w:styleId="Grilledutableau">
    <w:name w:val="Table Grid"/>
    <w:basedOn w:val="TableauNormal"/>
    <w:uiPriority w:val="39"/>
    <w:rsid w:val="00682AF4"/>
    <w:pPr>
      <w:spacing w:after="0" w:line="240" w:lineRule="auto"/>
    </w:pPr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73C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3C68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quatiris.fr/wp/wp-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773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</dc:creator>
  <cp:keywords/>
  <dc:description/>
  <cp:lastModifiedBy>Stephane</cp:lastModifiedBy>
  <cp:revision>7</cp:revision>
  <dcterms:created xsi:type="dcterms:W3CDTF">2021-09-21T08:02:00Z</dcterms:created>
  <dcterms:modified xsi:type="dcterms:W3CDTF">2022-11-23T08:02:00Z</dcterms:modified>
</cp:coreProperties>
</file>