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98886" w14:textId="77777777" w:rsidR="001C2ABE" w:rsidRPr="001C2ABE" w:rsidRDefault="001C2ABE" w:rsidP="001C2ABE">
      <w:pPr>
        <w:rPr>
          <w:b/>
          <w:bCs/>
        </w:rPr>
      </w:pPr>
      <w:r w:rsidRPr="001C2ABE">
        <w:rPr>
          <w:b/>
          <w:bCs/>
        </w:rPr>
        <w:t>### 1. Pregnancies /ˈpreɡ.nən.si/ (số lần mang thai)/GDM (Gestational /dʒes/ Diabetes /ˌdaɪ.əˈbiː.t̬iːz/ Mellitus /məˈlaɪ.t̬əs/)</w:t>
      </w:r>
    </w:p>
    <w:p w14:paraId="4517504D" w14:textId="77777777" w:rsidR="001C2ABE" w:rsidRPr="001C2ABE" w:rsidRDefault="001C2ABE" w:rsidP="001C2ABE">
      <w:pPr>
        <w:rPr>
          <w:b/>
          <w:bCs/>
        </w:rPr>
      </w:pPr>
      <w:r w:rsidRPr="001C2ABE">
        <w:rPr>
          <w:b/>
          <w:bCs/>
        </w:rPr>
        <w:t>- Đái tháo đường thai kỳ (cuối tam cá nguyệt 2 ~ tuần 24-28)</w:t>
      </w:r>
    </w:p>
    <w:p w14:paraId="2A7068B9" w14:textId="77777777" w:rsidR="001C2ABE" w:rsidRPr="001C2ABE" w:rsidRDefault="001C2ABE" w:rsidP="001C2ABE">
      <w:pPr>
        <w:rPr>
          <w:b/>
          <w:bCs/>
        </w:rPr>
      </w:pPr>
      <w:r w:rsidRPr="001C2ABE">
        <w:rPr>
          <w:b/>
          <w:bCs/>
        </w:rPr>
        <w:t>https://pmc.ncbi.nlm.nih.gov/articles/PMC2827530/?utm_source=chatgpt.com</w:t>
      </w:r>
    </w:p>
    <w:p w14:paraId="356E5760" w14:textId="77777777" w:rsidR="001C2ABE" w:rsidRPr="001C2ABE" w:rsidRDefault="001C2ABE" w:rsidP="001C2ABE">
      <w:pPr>
        <w:rPr>
          <w:b/>
          <w:bCs/>
        </w:rPr>
      </w:pPr>
      <w:r w:rsidRPr="001C2ABE">
        <w:rPr>
          <w:b/>
          <w:bCs/>
        </w:rPr>
        <w:t>- Thường sẽ hết sau khi sinh nhưng mẹ có nguy cơ cao bị T2D(Type 2 Diabetes Mellitus) về sau; thai nhi dễ gặp biến chứng (thai to, hạ đường huyết sau sinh...)</w:t>
      </w:r>
    </w:p>
    <w:p w14:paraId="651AD35E" w14:textId="77777777" w:rsidR="001C2ABE" w:rsidRPr="001C2ABE" w:rsidRDefault="001C2ABE" w:rsidP="001C2ABE">
      <w:pPr>
        <w:rPr>
          <w:b/>
          <w:bCs/>
        </w:rPr>
      </w:pPr>
      <w:r w:rsidRPr="001C2ABE">
        <w:rPr>
          <w:b/>
          <w:bCs/>
        </w:rPr>
        <w:t>https://pmc.ncbi.nlm.nih.gov/articles/PMC9016728/?utm_source=chatgpt.com</w:t>
      </w:r>
    </w:p>
    <w:p w14:paraId="512BA0A7" w14:textId="77777777" w:rsidR="001C2ABE" w:rsidRPr="001C2ABE" w:rsidRDefault="001C2ABE" w:rsidP="001C2ABE">
      <w:pPr>
        <w:rPr>
          <w:b/>
          <w:bCs/>
        </w:rPr>
      </w:pPr>
      <w:r w:rsidRPr="001C2ABE">
        <w:rPr>
          <w:b/>
          <w:bCs/>
        </w:rPr>
        <w:t>- Ảnh hưởng đến Age, BMI:</w:t>
      </w:r>
    </w:p>
    <w:p w14:paraId="11BF08E7" w14:textId="77777777" w:rsidR="001C2ABE" w:rsidRPr="001C2ABE" w:rsidRDefault="001C2ABE" w:rsidP="001C2ABE">
      <w:pPr>
        <w:rPr>
          <w:b/>
          <w:bCs/>
        </w:rPr>
      </w:pPr>
      <w:r w:rsidRPr="001C2ABE">
        <w:rPr>
          <w:b/>
          <w:bCs/>
        </w:rPr>
        <w:t>    - Số lần mang thai nhiều -&gt; Tuổi, tăng cân cao</w:t>
      </w:r>
    </w:p>
    <w:p w14:paraId="68C53E69" w14:textId="77777777" w:rsidR="001C2ABE" w:rsidRPr="001C2ABE" w:rsidRDefault="001C2ABE" w:rsidP="001C2ABE">
      <w:pPr>
        <w:rPr>
          <w:b/>
          <w:bCs/>
        </w:rPr>
      </w:pPr>
      <w:r w:rsidRPr="001C2ABE">
        <w:rPr>
          <w:b/>
          <w:bCs/>
        </w:rPr>
        <w:t>https://obgyn.onlinelibrary.wiley.com/doi/10.1111/aogs.13321?utm_source=chatgpt.com</w:t>
      </w:r>
    </w:p>
    <w:p w14:paraId="71F840B2" w14:textId="77777777" w:rsidR="001C2ABE" w:rsidRPr="001C2ABE" w:rsidRDefault="001C2ABE" w:rsidP="001C2ABE">
      <w:pPr>
        <w:rPr>
          <w:b/>
          <w:bCs/>
        </w:rPr>
      </w:pPr>
      <w:r w:rsidRPr="001C2ABE">
        <w:rPr>
          <w:b/>
          <w:bCs/>
        </w:rPr>
        <w:t xml:space="preserve">    </w:t>
      </w:r>
    </w:p>
    <w:p w14:paraId="5BD6E4D9" w14:textId="77777777" w:rsidR="001C2ABE" w:rsidRPr="001C2ABE" w:rsidRDefault="001C2ABE" w:rsidP="001C2ABE">
      <w:pPr>
        <w:rPr>
          <w:b/>
          <w:bCs/>
        </w:rPr>
      </w:pPr>
      <w:r w:rsidRPr="001C2ABE">
        <w:rPr>
          <w:b/>
          <w:bCs/>
        </w:rPr>
        <w:t>=&gt; Nguy cơ gián tiếp, quan sát được -&gt; Cần phụ thuộc với các yếu tố cao khác.</w:t>
      </w:r>
    </w:p>
    <w:p w14:paraId="5E164028" w14:textId="77777777" w:rsidR="001C2ABE" w:rsidRPr="001C2ABE" w:rsidRDefault="001C2ABE" w:rsidP="001C2ABE">
      <w:pPr>
        <w:rPr>
          <w:b/>
          <w:bCs/>
        </w:rPr>
      </w:pPr>
    </w:p>
    <w:p w14:paraId="16A82AE1" w14:textId="77777777" w:rsidR="001C2ABE" w:rsidRPr="001C2ABE" w:rsidRDefault="001C2ABE" w:rsidP="001C2ABE">
      <w:pPr>
        <w:rPr>
          <w:b/>
          <w:bCs/>
        </w:rPr>
      </w:pPr>
      <w:r w:rsidRPr="001C2ABE">
        <w:rPr>
          <w:b/>
          <w:bCs/>
        </w:rPr>
        <w:t xml:space="preserve">“Đây là khuyến cáo IADPSG 2010 in trên Diabetes Care. Nhóm tác giả dùng dữ liệu HAPO (~25 nghìn thai phụ làm OGTT 75 g) và chứng minh đường huyết mẹ càng cao thì nguy cơ bất lợi cho mẹ–bé càng tăng theo kiểu liên tục; từ đó họ đề xuất ngưỡng chẩn đoán GDM được nhiều tổ chức (trong đó có WHO) xem xét/áp dụng.” </w:t>
      </w:r>
    </w:p>
    <w:p w14:paraId="790BA49C" w14:textId="77777777" w:rsidR="001C2ABE" w:rsidRPr="001C2ABE" w:rsidRDefault="001C2ABE" w:rsidP="001C2ABE">
      <w:pPr>
        <w:rPr>
          <w:b/>
          <w:bCs/>
        </w:rPr>
      </w:pPr>
      <w:r w:rsidRPr="001C2ABE">
        <w:rPr>
          <w:b/>
          <w:bCs/>
        </w:rPr>
        <w:t>### 2. Glucose (đường huyết 2h, mg/dL)</w:t>
      </w:r>
    </w:p>
    <w:p w14:paraId="4EB70090" w14:textId="77777777" w:rsidR="001C2ABE" w:rsidRPr="001C2ABE" w:rsidRDefault="001C2ABE" w:rsidP="001C2ABE">
      <w:pPr>
        <w:rPr>
          <w:b/>
          <w:bCs/>
        </w:rPr>
      </w:pPr>
      <w:r w:rsidRPr="001C2ABE">
        <w:rPr>
          <w:b/>
          <w:bCs/>
        </w:rPr>
        <w:t>- Quy trình nghiệm pháp dung nạp đường uống (OGTT):</w:t>
      </w:r>
    </w:p>
    <w:p w14:paraId="5D9D72F2" w14:textId="77777777" w:rsidR="001C2ABE" w:rsidRPr="001C2ABE" w:rsidRDefault="001C2ABE" w:rsidP="001C2ABE">
      <w:pPr>
        <w:rPr>
          <w:b/>
          <w:bCs/>
        </w:rPr>
      </w:pPr>
      <w:r w:rsidRPr="001C2ABE">
        <w:rPr>
          <w:b/>
          <w:bCs/>
        </w:rPr>
        <w:t>    - Nhịn đói 8 giờ -&gt; lấy mẫu lúc đói (FPG)</w:t>
      </w:r>
    </w:p>
    <w:p w14:paraId="7C4F978F" w14:textId="77777777" w:rsidR="001C2ABE" w:rsidRPr="001C2ABE" w:rsidRDefault="001C2ABE" w:rsidP="001C2ABE">
      <w:pPr>
        <w:rPr>
          <w:b/>
          <w:bCs/>
        </w:rPr>
      </w:pPr>
      <w:r w:rsidRPr="001C2ABE">
        <w:rPr>
          <w:b/>
          <w:bCs/>
        </w:rPr>
        <w:t>    - Uống 75g glucose hòa với nước (WHO)</w:t>
      </w:r>
    </w:p>
    <w:p w14:paraId="14764D80" w14:textId="77777777" w:rsidR="001C2ABE" w:rsidRPr="001C2ABE" w:rsidRDefault="001C2ABE" w:rsidP="001C2ABE">
      <w:pPr>
        <w:rPr>
          <w:b/>
          <w:bCs/>
        </w:rPr>
      </w:pPr>
      <w:r w:rsidRPr="001C2ABE">
        <w:rPr>
          <w:b/>
          <w:bCs/>
        </w:rPr>
        <w:t>    - Ngồi nghỉ, không ăn/uống/vận động</w:t>
      </w:r>
    </w:p>
    <w:p w14:paraId="1987E76B" w14:textId="77777777" w:rsidR="001C2ABE" w:rsidRPr="001C2ABE" w:rsidRDefault="001C2ABE" w:rsidP="001C2ABE">
      <w:pPr>
        <w:rPr>
          <w:b/>
          <w:bCs/>
        </w:rPr>
      </w:pPr>
      <w:r w:rsidRPr="001C2ABE">
        <w:rPr>
          <w:b/>
          <w:bCs/>
        </w:rPr>
        <w:t>    - Lấy mẫu sau 2 giờ</w:t>
      </w:r>
    </w:p>
    <w:p w14:paraId="0DC5A507" w14:textId="77777777" w:rsidR="001C2ABE" w:rsidRPr="001C2ABE" w:rsidRDefault="001C2ABE" w:rsidP="001C2ABE">
      <w:pPr>
        <w:rPr>
          <w:b/>
          <w:bCs/>
        </w:rPr>
      </w:pPr>
    </w:p>
    <w:p w14:paraId="7258B703" w14:textId="77777777" w:rsidR="001C2ABE" w:rsidRPr="001C2ABE" w:rsidRDefault="001C2ABE" w:rsidP="001C2ABE">
      <w:pPr>
        <w:rPr>
          <w:b/>
          <w:bCs/>
        </w:rPr>
      </w:pPr>
      <w:r w:rsidRPr="001C2ABE">
        <w:rPr>
          <w:b/>
          <w:bCs/>
        </w:rPr>
        <w:t>    Bảng so sánh người mang thai và không:</w:t>
      </w:r>
    </w:p>
    <w:p w14:paraId="38B22FA3" w14:textId="77777777" w:rsidR="001C2ABE" w:rsidRPr="001C2ABE" w:rsidRDefault="001C2ABE" w:rsidP="001C2ABE">
      <w:pPr>
        <w:rPr>
          <w:b/>
          <w:bCs/>
        </w:rPr>
      </w:pPr>
      <w:r w:rsidRPr="001C2ABE">
        <w:rPr>
          <w:b/>
          <w:bCs/>
        </w:rPr>
        <w:t>### 3. BloodPressure (huyết áp tâm trương, mmHg)</w:t>
      </w:r>
    </w:p>
    <w:p w14:paraId="26DA448D" w14:textId="77777777" w:rsidR="001C2ABE" w:rsidRPr="001C2ABE" w:rsidRDefault="001C2ABE" w:rsidP="001C2ABE">
      <w:pPr>
        <w:rPr>
          <w:b/>
          <w:bCs/>
        </w:rPr>
      </w:pPr>
      <w:r w:rsidRPr="001C2ABE">
        <w:rPr>
          <w:b/>
          <w:bCs/>
        </w:rPr>
        <w:lastRenderedPageBreak/>
        <w:t>- Về lâm sàng: Phân loại tăng huyết áp chuẩn cần cả SBP (tâm thu) và DBP (tâm trương). Bộ dữ liệu chỉ có DBP, nên không đủ để phân loại tình trạng tăng huyết áp (cả ở người mang thai lẫn không mang thai).</w:t>
      </w:r>
    </w:p>
    <w:p w14:paraId="1E84A1E0" w14:textId="77777777" w:rsidR="001C2ABE" w:rsidRPr="001C2ABE" w:rsidRDefault="001C2ABE" w:rsidP="001C2ABE">
      <w:pPr>
        <w:rPr>
          <w:b/>
          <w:bCs/>
        </w:rPr>
      </w:pPr>
    </w:p>
    <w:p w14:paraId="6142E13E" w14:textId="77777777" w:rsidR="001C2ABE" w:rsidRPr="001C2ABE" w:rsidRDefault="001C2ABE" w:rsidP="001C2ABE">
      <w:pPr>
        <w:rPr>
          <w:b/>
          <w:bCs/>
        </w:rPr>
      </w:pPr>
      <w:r w:rsidRPr="001C2ABE">
        <w:rPr>
          <w:b/>
          <w:bCs/>
        </w:rPr>
        <w:t>- Về mô hình trên dataset Pima: DBP cho tín hiệu yếu với đích Outcome(≈ 0.065)</w:t>
      </w:r>
    </w:p>
    <w:p w14:paraId="5DC803AE" w14:textId="77777777" w:rsidR="001C2ABE" w:rsidRPr="001C2ABE" w:rsidRDefault="001C2ABE" w:rsidP="001C2ABE">
      <w:pPr>
        <w:rPr>
          <w:b/>
          <w:bCs/>
        </w:rPr>
      </w:pPr>
    </w:p>
    <w:p w14:paraId="5D420339" w14:textId="77777777" w:rsidR="001C2ABE" w:rsidRPr="001C2ABE" w:rsidRDefault="001C2ABE" w:rsidP="001C2ABE">
      <w:pPr>
        <w:rPr>
          <w:b/>
          <w:bCs/>
        </w:rPr>
      </w:pPr>
      <w:r w:rsidRPr="001C2ABE">
        <w:rPr>
          <w:b/>
          <w:bCs/>
        </w:rPr>
        <w:t>→ ảnh hưởng không cao.</w:t>
      </w:r>
    </w:p>
    <w:p w14:paraId="488299D1" w14:textId="77777777" w:rsidR="001C2ABE" w:rsidRPr="001C2ABE" w:rsidRDefault="001C2ABE" w:rsidP="001C2ABE">
      <w:pPr>
        <w:rPr>
          <w:b/>
          <w:bCs/>
        </w:rPr>
      </w:pPr>
    </w:p>
    <w:p w14:paraId="5553C748" w14:textId="77777777" w:rsidR="001C2ABE" w:rsidRPr="001C2ABE" w:rsidRDefault="001C2ABE" w:rsidP="001C2ABE">
      <w:pPr>
        <w:rPr>
          <w:b/>
          <w:bCs/>
        </w:rPr>
      </w:pPr>
      <w:r w:rsidRPr="001C2ABE">
        <w:rPr>
          <w:b/>
          <w:bCs/>
        </w:rPr>
        <w:t>- &lt; 60 mmHG: **Thấp** Có biểu hiện chóng mặt, mệt mỏi do máu không cung cấp đủ oxy.</w:t>
      </w:r>
    </w:p>
    <w:p w14:paraId="0A1105A1" w14:textId="77777777" w:rsidR="001C2ABE" w:rsidRPr="001C2ABE" w:rsidRDefault="001C2ABE" w:rsidP="001C2ABE">
      <w:pPr>
        <w:rPr>
          <w:b/>
          <w:bCs/>
        </w:rPr>
      </w:pPr>
      <w:r w:rsidRPr="001C2ABE">
        <w:rPr>
          <w:b/>
          <w:bCs/>
        </w:rPr>
        <w:t>- 60 - 80 mmHG: **Lý tưởng** Tim mạch OK.</w:t>
      </w:r>
    </w:p>
    <w:p w14:paraId="4A119740" w14:textId="77777777" w:rsidR="001C2ABE" w:rsidRPr="001C2ABE" w:rsidRDefault="001C2ABE" w:rsidP="001C2ABE">
      <w:pPr>
        <w:rPr>
          <w:b/>
          <w:bCs/>
        </w:rPr>
      </w:pPr>
      <w:r w:rsidRPr="001C2ABE">
        <w:rPr>
          <w:b/>
          <w:bCs/>
        </w:rPr>
        <w:t>- 80 - 90 mmHG: **Tiền tăng**. Yếu tố nguy cơ phát triển tăng huyết áp.</w:t>
      </w:r>
    </w:p>
    <w:p w14:paraId="1FE46112" w14:textId="77777777" w:rsidR="001C2ABE" w:rsidRPr="001C2ABE" w:rsidRDefault="001C2ABE" w:rsidP="001C2ABE">
      <w:pPr>
        <w:rPr>
          <w:b/>
          <w:bCs/>
        </w:rPr>
      </w:pPr>
      <w:r w:rsidRPr="001C2ABE">
        <w:rPr>
          <w:b/>
          <w:bCs/>
        </w:rPr>
        <w:t xml:space="preserve">- &gt;= 90 mmHG: **Tăng**. Cần bác sĩ </w:t>
      </w:r>
    </w:p>
    <w:p w14:paraId="44319D79" w14:textId="7A32B4EB" w:rsidR="001C2ABE" w:rsidRDefault="001C2ABE" w:rsidP="00FC5357">
      <w:pPr>
        <w:rPr>
          <w:b/>
          <w:bCs/>
        </w:rPr>
      </w:pPr>
    </w:p>
    <w:p w14:paraId="5F4C439B" w14:textId="77777777" w:rsidR="001C2ABE" w:rsidRDefault="001C2ABE" w:rsidP="00FC5357">
      <w:pPr>
        <w:rPr>
          <w:b/>
          <w:bCs/>
        </w:rPr>
      </w:pPr>
    </w:p>
    <w:p w14:paraId="70D09337" w14:textId="77777777" w:rsidR="001C2ABE" w:rsidRDefault="001C2ABE" w:rsidP="00FC5357">
      <w:pPr>
        <w:rPr>
          <w:b/>
          <w:bCs/>
        </w:rPr>
      </w:pPr>
    </w:p>
    <w:p w14:paraId="5DCA1910" w14:textId="0BCA73FE" w:rsidR="00FC5357" w:rsidRPr="00FC5357" w:rsidRDefault="00FC5357" w:rsidP="00FC5357">
      <w:r w:rsidRPr="00FC5357">
        <w:rPr>
          <w:b/>
          <w:bCs/>
        </w:rPr>
        <w:t>4</w:t>
      </w:r>
      <w:r>
        <w:rPr>
          <w:b/>
          <w:bCs/>
        </w:rPr>
        <w:t xml:space="preserve">. </w:t>
      </w:r>
      <w:r w:rsidRPr="00FC5357">
        <w:rPr>
          <w:b/>
          <w:bCs/>
        </w:rPr>
        <w:t>SkinThickness – bề dày da tam đầu (mm)</w:t>
      </w:r>
    </w:p>
    <w:p w14:paraId="2D3063B7" w14:textId="52435E52" w:rsidR="00FC5357" w:rsidRPr="00FC5357" w:rsidRDefault="00FC5357" w:rsidP="00FC5357">
      <w:r w:rsidRPr="00FC5357">
        <w:t>Proxy cho mỡ dưới da tại vị trí tam đầu -&gt; liên quan đến đề kháng Insulin</w:t>
      </w:r>
    </w:p>
    <w:p w14:paraId="00287306" w14:textId="47D31794" w:rsidR="00FC5357" w:rsidRPr="00FC5357" w:rsidRDefault="00FC5357" w:rsidP="00FC5357">
      <w:pPr>
        <w:rPr>
          <w:b/>
          <w:bCs/>
        </w:rPr>
      </w:pPr>
      <w:r w:rsidRPr="00FC5357">
        <w:rPr>
          <w:b/>
          <w:bCs/>
        </w:rPr>
        <w:t>Vấn đề:</w:t>
      </w:r>
      <w:r>
        <w:rPr>
          <w:b/>
          <w:bCs/>
        </w:rPr>
        <w:t xml:space="preserve"> </w:t>
      </w:r>
      <w:r w:rsidRPr="00FC5357">
        <w:t>Xuất hiện nhiều values 0 có thể là "missing trá hình" hoặc missing data:</w:t>
      </w:r>
    </w:p>
    <w:p w14:paraId="2AD1539F" w14:textId="083C6096" w:rsidR="00FC5357" w:rsidRPr="00FC5357" w:rsidRDefault="00FC5357" w:rsidP="00FC5357">
      <w:r w:rsidRPr="00FC5357">
        <w:t>   - Khó/không đo được ở lần khám (đo nếp gấp da cần kẹp caliper đúng vị trí; người đo chưa thành thạo; bệnh nhân không hợp tác…).</w:t>
      </w:r>
    </w:p>
    <w:p w14:paraId="3B81B535" w14:textId="77777777" w:rsidR="00FC5357" w:rsidRPr="00FC5357" w:rsidRDefault="00FC5357" w:rsidP="00FC5357">
      <w:r w:rsidRPr="00FC5357">
        <w:t>    - Một số phòng xét nghiệm (ví dụ Insulin) không thực hiện quy trình này</w:t>
      </w:r>
    </w:p>
    <w:p w14:paraId="7A118E30" w14:textId="05B33CF2" w:rsidR="00FC5357" w:rsidRPr="00FC5357" w:rsidRDefault="00FC5357" w:rsidP="00FC5357">
      <w:r w:rsidRPr="00FC5357">
        <w:rPr>
          <w:b/>
          <w:bCs/>
        </w:rPr>
        <w:t>Bản chất:</w:t>
      </w:r>
      <w:r w:rsidRPr="00FC5357">
        <w:t xml:space="preserve"> các số 0 này là “giá trị thiếu được mã hoá thành 0” (disguised</w:t>
      </w:r>
      <w:r>
        <w:t xml:space="preserve"> </w:t>
      </w:r>
      <w:r w:rsidRPr="00FC5357">
        <w:t>/dɪsˈɡaɪzd/ missing data) chứ không phải đo lường hợp lý về sinh học.</w:t>
      </w:r>
    </w:p>
    <w:p w14:paraId="0E88C2C6" w14:textId="77777777" w:rsidR="00FC5357" w:rsidRDefault="00FC5357" w:rsidP="00FC5357">
      <w:pPr>
        <w:rPr>
          <w:b/>
          <w:bCs/>
        </w:rPr>
      </w:pPr>
      <w:r w:rsidRPr="00FC5357">
        <w:rPr>
          <w:b/>
          <w:bCs/>
        </w:rPr>
        <w:t>Minh chứng trích từ Pearson (2006, SIGKDD Explorations):</w:t>
      </w:r>
    </w:p>
    <w:p w14:paraId="308ACF9C" w14:textId="0E9DF844" w:rsidR="00FC5357" w:rsidRPr="00FC5357" w:rsidRDefault="00FC5357" w:rsidP="00FC5357">
      <w:pPr>
        <w:rPr>
          <w:i/>
          <w:iCs/>
        </w:rPr>
      </w:pPr>
      <w:hyperlink r:id="rId4" w:history="1">
        <w:r w:rsidRPr="00FC5357">
          <w:rPr>
            <w:rStyle w:val="Hyperlink"/>
            <w:i/>
            <w:iCs/>
          </w:rPr>
          <w:t>https://www.kdd.org/exploration_files/12-Pearson.pdf</w:t>
        </w:r>
      </w:hyperlink>
    </w:p>
    <w:p w14:paraId="2FA4D8CF" w14:textId="1384E986" w:rsidR="00FC5357" w:rsidRPr="00FC5357" w:rsidRDefault="00FC5357" w:rsidP="00FC5357">
      <w:r w:rsidRPr="00FC5357">
        <w:t>Tác giả chỉ ra rằng dù metadata nói “không có missing”, nhưng 5 biến (trong đó có TSF – triceps skinfold thickness) chứa “giá trị 0 không khả thi về sinh học”, nên phải coi là missing</w:t>
      </w:r>
      <w:r w:rsidRPr="00FC5357">
        <w:rPr>
          <w:i/>
          <w:iCs/>
        </w:rPr>
        <w:t>. (Page 3)</w:t>
      </w:r>
    </w:p>
    <w:p w14:paraId="621E3D7C" w14:textId="24F881D8" w:rsidR="00FC5357" w:rsidRPr="00FC5357" w:rsidRDefault="00FC5357" w:rsidP="00FC5357">
      <w:r w:rsidRPr="00FC5357">
        <w:lastRenderedPageBreak/>
        <w:t xml:space="preserve">Pearson tóm lược: triceps skinfold (TSF) “~29.6% missing”, còn insulin ~48.7% (con số missing này phản ánh thực tế nhiều dòng ghi 0 cho TSF/INS). </w:t>
      </w:r>
      <w:r w:rsidRPr="00FC5357">
        <w:rPr>
          <w:i/>
          <w:iCs/>
        </w:rPr>
        <w:t>(Page 3)</w:t>
      </w:r>
    </w:p>
    <w:p w14:paraId="0305B48E" w14:textId="0E8CCB90" w:rsidR="00FC5357" w:rsidRDefault="00FC5357" w:rsidP="00FC5357">
      <w:pPr>
        <w:jc w:val="center"/>
      </w:pPr>
      <w:r w:rsidRPr="00FC5357">
        <w:rPr>
          <w:noProof/>
        </w:rPr>
        <w:drawing>
          <wp:inline distT="0" distB="0" distL="0" distR="0" wp14:anchorId="4A69FE19" wp14:editId="287C7E5A">
            <wp:extent cx="3249386" cy="2892591"/>
            <wp:effectExtent l="0" t="0" r="8255" b="3175"/>
            <wp:docPr id="1250922972" name="Picture 1" descr="A graph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22972" name="Picture 1" descr="A graph of a number of dots&#10;&#10;AI-generated content may be incorrect."/>
                    <pic:cNvPicPr/>
                  </pic:nvPicPr>
                  <pic:blipFill>
                    <a:blip r:embed="rId5"/>
                    <a:stretch>
                      <a:fillRect/>
                    </a:stretch>
                  </pic:blipFill>
                  <pic:spPr>
                    <a:xfrm>
                      <a:off x="0" y="0"/>
                      <a:ext cx="3257737" cy="2900025"/>
                    </a:xfrm>
                    <a:prstGeom prst="rect">
                      <a:avLst/>
                    </a:prstGeom>
                  </pic:spPr>
                </pic:pic>
              </a:graphicData>
            </a:graphic>
          </wp:inline>
        </w:drawing>
      </w:r>
    </w:p>
    <w:p w14:paraId="0E758AF4" w14:textId="215682CB" w:rsidR="00FC5357" w:rsidRPr="00FC5357" w:rsidRDefault="00FC5357" w:rsidP="00FC5357">
      <w:r w:rsidRPr="00FC5357">
        <w:rPr>
          <w:b/>
          <w:bCs/>
        </w:rPr>
        <w:t>Hình 7</w:t>
      </w:r>
      <w:r w:rsidRPr="00FC5357">
        <w:t>: các số 0 lặp lại tạo một “dải” ở đáy nhưng không bị coi là outlier theo thuật toán thông thường.</w:t>
      </w:r>
    </w:p>
    <w:p w14:paraId="07E4C101" w14:textId="77777777" w:rsidR="00FC5357" w:rsidRDefault="00FC5357" w:rsidP="00FC5357"/>
    <w:p w14:paraId="69717B6F" w14:textId="5326BF13" w:rsidR="00FC5357" w:rsidRDefault="00FC5357" w:rsidP="00FC5357">
      <w:pPr>
        <w:jc w:val="center"/>
      </w:pPr>
      <w:r w:rsidRPr="00FC5357">
        <w:rPr>
          <w:noProof/>
        </w:rPr>
        <w:lastRenderedPageBreak/>
        <w:drawing>
          <wp:inline distT="0" distB="0" distL="0" distR="0" wp14:anchorId="107D2AA6" wp14:editId="3E974C8D">
            <wp:extent cx="4791744" cy="4058216"/>
            <wp:effectExtent l="0" t="0" r="8890" b="0"/>
            <wp:docPr id="2137521321"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21321" name="Picture 1" descr="A graph of a line&#10;&#10;AI-generated content may be incorrect."/>
                    <pic:cNvPicPr/>
                  </pic:nvPicPr>
                  <pic:blipFill>
                    <a:blip r:embed="rId6"/>
                    <a:stretch>
                      <a:fillRect/>
                    </a:stretch>
                  </pic:blipFill>
                  <pic:spPr>
                    <a:xfrm>
                      <a:off x="0" y="0"/>
                      <a:ext cx="4791744" cy="4058216"/>
                    </a:xfrm>
                    <a:prstGeom prst="rect">
                      <a:avLst/>
                    </a:prstGeom>
                  </pic:spPr>
                </pic:pic>
              </a:graphicData>
            </a:graphic>
          </wp:inline>
        </w:drawing>
      </w:r>
    </w:p>
    <w:p w14:paraId="4E607ADF" w14:textId="5FC6AA1E" w:rsidR="00FC5357" w:rsidRPr="00FC5357" w:rsidRDefault="00FC5357" w:rsidP="00FC5357">
      <w:pPr>
        <w:jc w:val="center"/>
      </w:pPr>
      <w:r w:rsidRPr="00FC5357">
        <w:rPr>
          <w:b/>
          <w:bCs/>
        </w:rPr>
        <w:t>Hình 8</w:t>
      </w:r>
      <w:r>
        <w:rPr>
          <w:b/>
          <w:bCs/>
        </w:rPr>
        <w:t xml:space="preserve">: </w:t>
      </w:r>
      <w:r w:rsidRPr="00FC5357">
        <w:t>“đuôi dưới phẳng” chính là dấu hiệu zero “giả</w:t>
      </w:r>
      <w:r>
        <w:t>”</w:t>
      </w:r>
    </w:p>
    <w:p w14:paraId="1FE16F07" w14:textId="1503276D" w:rsidR="00446240" w:rsidRDefault="00446240"/>
    <w:sectPr w:rsidR="00446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28"/>
    <w:rsid w:val="001567F3"/>
    <w:rsid w:val="001C2ABE"/>
    <w:rsid w:val="001E04EA"/>
    <w:rsid w:val="004147D3"/>
    <w:rsid w:val="00446240"/>
    <w:rsid w:val="004B377C"/>
    <w:rsid w:val="006C4128"/>
    <w:rsid w:val="007603A4"/>
    <w:rsid w:val="00A95480"/>
    <w:rsid w:val="00EE6C73"/>
    <w:rsid w:val="00FC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B8FA"/>
  <w15:chartTrackingRefBased/>
  <w15:docId w15:val="{AA3E3653-741C-4B4B-88F2-226664B4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1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1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1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1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1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1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1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1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1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1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128"/>
    <w:rPr>
      <w:rFonts w:eastAsiaTheme="majorEastAsia" w:cstheme="majorBidi"/>
      <w:color w:val="272727" w:themeColor="text1" w:themeTint="D8"/>
    </w:rPr>
  </w:style>
  <w:style w:type="paragraph" w:styleId="Title">
    <w:name w:val="Title"/>
    <w:basedOn w:val="Normal"/>
    <w:next w:val="Normal"/>
    <w:link w:val="TitleChar"/>
    <w:uiPriority w:val="10"/>
    <w:qFormat/>
    <w:rsid w:val="006C4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128"/>
    <w:pPr>
      <w:spacing w:before="160"/>
      <w:jc w:val="center"/>
    </w:pPr>
    <w:rPr>
      <w:i/>
      <w:iCs/>
      <w:color w:val="404040" w:themeColor="text1" w:themeTint="BF"/>
    </w:rPr>
  </w:style>
  <w:style w:type="character" w:customStyle="1" w:styleId="QuoteChar">
    <w:name w:val="Quote Char"/>
    <w:basedOn w:val="DefaultParagraphFont"/>
    <w:link w:val="Quote"/>
    <w:uiPriority w:val="29"/>
    <w:rsid w:val="006C4128"/>
    <w:rPr>
      <w:i/>
      <w:iCs/>
      <w:color w:val="404040" w:themeColor="text1" w:themeTint="BF"/>
    </w:rPr>
  </w:style>
  <w:style w:type="paragraph" w:styleId="ListParagraph">
    <w:name w:val="List Paragraph"/>
    <w:basedOn w:val="Normal"/>
    <w:uiPriority w:val="34"/>
    <w:qFormat/>
    <w:rsid w:val="006C4128"/>
    <w:pPr>
      <w:ind w:left="720"/>
      <w:contextualSpacing/>
    </w:pPr>
  </w:style>
  <w:style w:type="character" w:styleId="IntenseEmphasis">
    <w:name w:val="Intense Emphasis"/>
    <w:basedOn w:val="DefaultParagraphFont"/>
    <w:uiPriority w:val="21"/>
    <w:qFormat/>
    <w:rsid w:val="006C4128"/>
    <w:rPr>
      <w:i/>
      <w:iCs/>
      <w:color w:val="2F5496" w:themeColor="accent1" w:themeShade="BF"/>
    </w:rPr>
  </w:style>
  <w:style w:type="paragraph" w:styleId="IntenseQuote">
    <w:name w:val="Intense Quote"/>
    <w:basedOn w:val="Normal"/>
    <w:next w:val="Normal"/>
    <w:link w:val="IntenseQuoteChar"/>
    <w:uiPriority w:val="30"/>
    <w:qFormat/>
    <w:rsid w:val="006C41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128"/>
    <w:rPr>
      <w:i/>
      <w:iCs/>
      <w:color w:val="2F5496" w:themeColor="accent1" w:themeShade="BF"/>
    </w:rPr>
  </w:style>
  <w:style w:type="character" w:styleId="IntenseReference">
    <w:name w:val="Intense Reference"/>
    <w:basedOn w:val="DefaultParagraphFont"/>
    <w:uiPriority w:val="32"/>
    <w:qFormat/>
    <w:rsid w:val="006C4128"/>
    <w:rPr>
      <w:b/>
      <w:bCs/>
      <w:smallCaps/>
      <w:color w:val="2F5496" w:themeColor="accent1" w:themeShade="BF"/>
      <w:spacing w:val="5"/>
    </w:rPr>
  </w:style>
  <w:style w:type="character" w:styleId="Hyperlink">
    <w:name w:val="Hyperlink"/>
    <w:basedOn w:val="DefaultParagraphFont"/>
    <w:uiPriority w:val="99"/>
    <w:unhideWhenUsed/>
    <w:rsid w:val="00FC5357"/>
    <w:rPr>
      <w:color w:val="0563C1" w:themeColor="hyperlink"/>
      <w:u w:val="single"/>
    </w:rPr>
  </w:style>
  <w:style w:type="character" w:styleId="UnresolvedMention">
    <w:name w:val="Unresolved Mention"/>
    <w:basedOn w:val="DefaultParagraphFont"/>
    <w:uiPriority w:val="99"/>
    <w:semiHidden/>
    <w:unhideWhenUsed/>
    <w:rsid w:val="00FC5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dd.org/exploration_files/12-Pear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Thanh Tuấn</dc:creator>
  <cp:keywords/>
  <dc:description/>
  <cp:lastModifiedBy>Lương Thanh Tuấn</cp:lastModifiedBy>
  <cp:revision>4</cp:revision>
  <dcterms:created xsi:type="dcterms:W3CDTF">2025-09-22T00:47:00Z</dcterms:created>
  <dcterms:modified xsi:type="dcterms:W3CDTF">2025-09-22T08:43:00Z</dcterms:modified>
</cp:coreProperties>
</file>