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AMANDABOROUGH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Taylor, Amanda  |  DOB: 06/06/2006  |  MRN: MRN987415</w:t>
        <w:br/>
        <w:t>Date of Visit: 11/25/2025</w:t>
        <w:br/>
        <w:t>Provider: Brian Castillo, PA - Nephrology</w:t>
      </w:r>
    </w:p>
    <w:p/>
    <w:p>
      <w:r>
        <w:rPr>
          <w:b/>
        </w:rPr>
        <w:t>VITAL SIGNS</w:t>
      </w:r>
    </w:p>
    <w:p>
      <w:r>
        <w:t>BP: 133/79 mmHg  |  HR: 94 bpm  |  Temp: 98.4°F  |  RR: 15  |  O2 Sat: 98%</w:t>
        <w:br/>
        <w:t>Weight: 247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Metformin 500mg twice daily, Gabapentin 300mg three times daily. Known allergies: Morphine, Sulfa drugs,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Brian Castillo, PA</w:t>
        <w:br/>
        <w:t>Date: 11/25/2025 12:24</w:t>
        <w:br/>
        <w:t>NPI: 1835717181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