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WATKINSBURGH REGIONAL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Cooper, Douglas  |  DOB: 03/18/2006  |  MRN: MRN913626</w:t>
        <w:br/>
        <w:t>Date of Visit: 11/25/2025</w:t>
        <w:br/>
        <w:t>Provider: Olivia Nguyen, MD - Nephrology</w:t>
      </w:r>
    </w:p>
    <w:p/>
    <w:p>
      <w:r>
        <w:rPr>
          <w:b/>
        </w:rPr>
        <w:t>VITAL SIGNS</w:t>
      </w:r>
    </w:p>
    <w:p>
      <w:r>
        <w:t>BP: 143/72 mmHg  |  HR: 99 bpm  |  Temp: 98.5°F  |  RR: 19  |  O2 Sat: 99%</w:t>
        <w:br/>
        <w:t>Weight: 239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Atorvastatin 20mg daily, Losartan 50mg daily, Levothyroxine 50mcg daily. Known allergies: Bee stings.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Essential Hypertension (ICD-10: I10)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Hyperlipidemia (ICD-10: E78.5)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Olivia Nguyen, MD</w:t>
        <w:br/>
        <w:t>Date: 11/25/2025 12:25</w:t>
        <w:br/>
        <w:t>NPI: 7970468923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