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NEW RICHARD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Garcia, Angela  |  DOB: 09/14/1991  |  MRN: MRN555596</w:t>
        <w:br/>
        <w:t>Date of Visit: 11/20/2025</w:t>
        <w:br/>
        <w:t>Provider: Stephanie Vasquez, MD - Nephrology</w:t>
      </w:r>
    </w:p>
    <w:p/>
    <w:p>
      <w:r>
        <w:rPr>
          <w:b/>
        </w:rPr>
        <w:t>VITAL SIGNS</w:t>
      </w:r>
    </w:p>
    <w:p>
      <w:r>
        <w:t>BP: 117/91 mmHg  |  HR: 86 bpm  |  Temp: 98.1°F  |  RR: 17  |  O2 Sat: 96%</w:t>
        <w:br/>
        <w:t>Weight: 202 lbs  |  Height: 71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daily. Known allergies: Latex, Ibuprofen, Peanuts.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Essential Hypertension (ICD-10: I10)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Stephanie Vasquez, MD</w:t>
        <w:br/>
        <w:t>Date: 11/20/2025 10:15</w:t>
        <w:br/>
        <w:t>NPI: 8742949959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