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DAWN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Friedman, Patricia  |  DOB: 07/08/1955  |  MRN: MRN201913</w:t>
        <w:br/>
        <w:t>Date of Visit: 11/18/2025</w:t>
        <w:br/>
        <w:t>Provider: Scott Brown, NP - Internal Medicine</w:t>
      </w:r>
    </w:p>
    <w:p/>
    <w:p>
      <w:r>
        <w:rPr>
          <w:b/>
        </w:rPr>
        <w:t>VITAL SIGNS</w:t>
      </w:r>
    </w:p>
    <w:p>
      <w:r>
        <w:t>BP: 154/81 mmHg  |  HR: 73 bpm  |  Temp: 98.1°F  |  RR: 15  |  O2 Sat: 97%</w:t>
        <w:br/>
        <w:t>Weight: 145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Omeprazole 20mg daily, Metformin 500mg twice daily. Known allergies: Morphine, Peanuts, Latex.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Scott Brown, NP</w:t>
        <w:br/>
        <w:t>Date: 11/18/2025 23:54</w:t>
        <w:br/>
        <w:t>NPI: 7004964045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