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KATELYN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Meyers, Catherine  |  DOB: 11/28/1960  |  MRN: MRN834861</w:t>
        <w:br/>
        <w:t>Date of Visit: 11/18/2025</w:t>
        <w:br/>
        <w:t>Provider: Kevin Spencer, DO - Orthopedics</w:t>
      </w:r>
    </w:p>
    <w:p/>
    <w:p>
      <w:r>
        <w:rPr>
          <w:b/>
        </w:rPr>
        <w:t>VITAL SIGNS</w:t>
      </w:r>
    </w:p>
    <w:p>
      <w:r>
        <w:t>BP: 157/76 mmHg  |  HR: 75 bpm  |  Temp: 98.8°F  |  RR: 16  |  O2 Sat: 96%</w:t>
        <w:br/>
        <w:t>Weight: 178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Sertraline 50mg daily, Levothyroxine 50mcg daily. Known allergies: Morphine, Sulfa drugs,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Kevin Spencer, DO</w:t>
        <w:br/>
        <w:t>Date: 11/18/2025 23:54</w:t>
        <w:br/>
        <w:t>NPI: 2529125930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