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STEPHANIECHESTER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Hardy, Claire  |  DOB: 08/25/1999  |  MRN: MRN348207</w:t>
        <w:br/>
        <w:t>Date of Visit: 11/18/2025</w:t>
        <w:br/>
        <w:t>Provider: Tammy Carroll, NP - Internal Medicine</w:t>
      </w:r>
    </w:p>
    <w:p/>
    <w:p>
      <w:r>
        <w:rPr>
          <w:b/>
        </w:rPr>
        <w:t>VITAL SIGNS</w:t>
      </w:r>
    </w:p>
    <w:p>
      <w:r>
        <w:t>BP: 123/95 mmHg  |  HR: 86 bpm  |  Temp: 99.2°F  |  RR: 13  |  O2 Sat: 95%</w:t>
        <w:br/>
        <w:t>Weight: 248 lbs  |  Height: 67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Amlodipine 5mg daily, Gabapentin 300mg three times daily, Atorvastatin 20mg daily. Known allergies: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Tammy Carroll, NP</w:t>
        <w:br/>
        <w:t>Date: 11/18/2025 23:54</w:t>
        <w:br/>
        <w:t>NPI: 3989035292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