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6792" w:rsidRDefault="00673AE1">
      <w:pPr>
        <w:spacing w:after="8"/>
        <w:rPr>
          <w:rFonts w:ascii="Palatino" w:hAnsi="Palatino"/>
          <w:caps/>
          <w:sz w:val="18"/>
        </w:rPr>
      </w:pPr>
      <w:r>
        <w:rPr>
          <w:rFonts w:ascii="Palatino" w:hAnsi="Palatino"/>
          <w:b/>
          <w:noProof/>
          <w:spacing w:val="-5"/>
          <w:sz w:val="18"/>
        </w:rPr>
        <w:drawing>
          <wp:anchor distT="0" distB="0" distL="114300" distR="114300" simplePos="0" relativeHeight="251657728" behindDoc="0" locked="0" layoutInCell="0" allowOverlap="1">
            <wp:simplePos x="0" y="0"/>
            <wp:positionH relativeFrom="column">
              <wp:posOffset>3709035</wp:posOffset>
            </wp:positionH>
            <wp:positionV relativeFrom="paragraph">
              <wp:posOffset>-220980</wp:posOffset>
            </wp:positionV>
            <wp:extent cx="2326005" cy="930275"/>
            <wp:effectExtent l="0" t="0" r="0" b="3175"/>
            <wp:wrapNone/>
            <wp:docPr id="4" name="Picture 4" descr="Centers for Medicare &amp; Medicaid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nters for Medicare &amp; Medicaid Logo&#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6005" cy="930275"/>
                    </a:xfrm>
                    <a:prstGeom prst="rect">
                      <a:avLst/>
                    </a:prstGeom>
                    <a:noFill/>
                  </pic:spPr>
                </pic:pic>
              </a:graphicData>
            </a:graphic>
            <wp14:sizeRelH relativeFrom="page">
              <wp14:pctWidth>0</wp14:pctWidth>
            </wp14:sizeRelH>
            <wp14:sizeRelV relativeFrom="page">
              <wp14:pctHeight>0</wp14:pctHeight>
            </wp14:sizeRelV>
          </wp:anchor>
        </w:drawing>
      </w:r>
      <w:r w:rsidR="00A26792">
        <w:rPr>
          <w:rFonts w:ascii="Palatino" w:hAnsi="Palatino"/>
          <w:caps/>
          <w:sz w:val="18"/>
        </w:rPr>
        <w:t>Department of Health &amp; Human Services</w:t>
      </w:r>
    </w:p>
    <w:p w:rsidR="00A26792" w:rsidRDefault="00A26792">
      <w:pPr>
        <w:spacing w:after="8"/>
        <w:rPr>
          <w:rFonts w:ascii="Palatino" w:hAnsi="Palatino"/>
          <w:sz w:val="18"/>
        </w:rPr>
      </w:pPr>
      <w:r>
        <w:rPr>
          <w:rFonts w:ascii="Palatino" w:hAnsi="Palatino"/>
          <w:sz w:val="18"/>
        </w:rPr>
        <w:t>Centers for Medicare &amp; Medicaid Services</w:t>
      </w:r>
    </w:p>
    <w:p w:rsidR="00A26792" w:rsidRDefault="00A26792">
      <w:pPr>
        <w:spacing w:after="8"/>
        <w:rPr>
          <w:rFonts w:ascii="Palatino" w:hAnsi="Palatino"/>
          <w:sz w:val="18"/>
        </w:rPr>
      </w:pPr>
      <w:r>
        <w:rPr>
          <w:rFonts w:ascii="Palatino" w:hAnsi="Palatino"/>
          <w:sz w:val="18"/>
        </w:rPr>
        <w:t>7500 Security Boulevard, Mail Stop C2-21-15</w:t>
      </w:r>
    </w:p>
    <w:p w:rsidR="00A26792" w:rsidRDefault="00A26792">
      <w:pPr>
        <w:spacing w:after="8"/>
        <w:rPr>
          <w:rFonts w:ascii="Palatino" w:hAnsi="Palatino"/>
          <w:sz w:val="19"/>
        </w:rPr>
      </w:pPr>
      <w:r>
        <w:rPr>
          <w:rFonts w:ascii="Palatino" w:hAnsi="Palatino"/>
          <w:sz w:val="18"/>
        </w:rPr>
        <w:t>Baltimore, Maryland 21244-1850</w:t>
      </w:r>
    </w:p>
    <w:p w:rsidR="00A26792" w:rsidRDefault="00A26792">
      <w:pPr>
        <w:pBdr>
          <w:bottom w:val="single" w:sz="4" w:space="0" w:color="auto"/>
        </w:pBdr>
        <w:rPr>
          <w:rFonts w:ascii="Palatino" w:hAnsi="Palatino"/>
          <w:b/>
          <w:spacing w:val="-5"/>
        </w:rPr>
      </w:pPr>
    </w:p>
    <w:p w:rsidR="00A26792" w:rsidRDefault="00A26792">
      <w:pPr>
        <w:pStyle w:val="Heading4"/>
        <w:rPr>
          <w:sz w:val="28"/>
        </w:rPr>
      </w:pPr>
      <w:r>
        <w:rPr>
          <w:sz w:val="28"/>
        </w:rPr>
        <w:t>MEMORANDUM</w:t>
      </w:r>
    </w:p>
    <w:p w:rsidR="00A26792" w:rsidRDefault="00A26792">
      <w:pPr>
        <w:rPr>
          <w:rFonts w:ascii="Palatino" w:hAnsi="Palatino"/>
          <w:b/>
          <w:spacing w:val="-5"/>
        </w:rPr>
      </w:pPr>
    </w:p>
    <w:tbl>
      <w:tblPr>
        <w:tblW w:w="0" w:type="auto"/>
        <w:tblLayout w:type="fixed"/>
        <w:tblLook w:val="0000" w:firstRow="0" w:lastRow="0" w:firstColumn="0" w:lastColumn="0" w:noHBand="0" w:noVBand="0"/>
      </w:tblPr>
      <w:tblGrid>
        <w:gridCol w:w="1638"/>
        <w:gridCol w:w="7920"/>
      </w:tblGrid>
      <w:tr w:rsidR="00A26792">
        <w:tc>
          <w:tcPr>
            <w:tcW w:w="1638" w:type="dxa"/>
          </w:tcPr>
          <w:p w:rsidR="00A26792" w:rsidRDefault="00A26792">
            <w:pPr>
              <w:rPr>
                <w:b/>
                <w:bCs/>
              </w:rPr>
            </w:pPr>
            <w:r>
              <w:rPr>
                <w:b/>
                <w:bCs/>
              </w:rPr>
              <w:t>DATE:</w:t>
            </w:r>
          </w:p>
        </w:tc>
        <w:tc>
          <w:tcPr>
            <w:tcW w:w="7920" w:type="dxa"/>
          </w:tcPr>
          <w:p w:rsidR="00A26792" w:rsidRDefault="00A26792"/>
          <w:p w:rsidR="00A26792" w:rsidRDefault="00A26792"/>
        </w:tc>
      </w:tr>
      <w:tr w:rsidR="00A26792">
        <w:tc>
          <w:tcPr>
            <w:tcW w:w="1638" w:type="dxa"/>
          </w:tcPr>
          <w:p w:rsidR="00A26792" w:rsidRDefault="00A26792">
            <w:pPr>
              <w:rPr>
                <w:b/>
                <w:bCs/>
              </w:rPr>
            </w:pPr>
            <w:r>
              <w:rPr>
                <w:b/>
                <w:bCs/>
              </w:rPr>
              <w:t>TITLE:</w:t>
            </w:r>
          </w:p>
        </w:tc>
        <w:tc>
          <w:tcPr>
            <w:tcW w:w="7920" w:type="dxa"/>
          </w:tcPr>
          <w:p w:rsidR="00A26792" w:rsidRDefault="00A26792"/>
          <w:p w:rsidR="00A26792" w:rsidRDefault="00A26792"/>
        </w:tc>
      </w:tr>
      <w:tr w:rsidR="00A26792">
        <w:tc>
          <w:tcPr>
            <w:tcW w:w="1638" w:type="dxa"/>
          </w:tcPr>
          <w:p w:rsidR="00A26792" w:rsidRDefault="00A26792">
            <w:pPr>
              <w:rPr>
                <w:b/>
                <w:bCs/>
              </w:rPr>
            </w:pPr>
            <w:r>
              <w:rPr>
                <w:b/>
                <w:bCs/>
              </w:rPr>
              <w:t>SUBJECT:</w:t>
            </w:r>
          </w:p>
        </w:tc>
        <w:tc>
          <w:tcPr>
            <w:tcW w:w="7920" w:type="dxa"/>
          </w:tcPr>
          <w:p w:rsidR="00A26792" w:rsidRDefault="00A26792">
            <w:r>
              <w:t>Source Selection Determination (SSD)</w:t>
            </w:r>
          </w:p>
          <w:p w:rsidR="00A26792" w:rsidRDefault="00A26792"/>
        </w:tc>
      </w:tr>
    </w:tbl>
    <w:p w:rsidR="00A26792" w:rsidRDefault="00A26792">
      <w:pPr>
        <w:ind w:left="72" w:right="720"/>
      </w:pPr>
    </w:p>
    <w:p w:rsidR="00A26792" w:rsidRDefault="00A26792">
      <w:pPr>
        <w:pStyle w:val="Heading1"/>
      </w:pPr>
      <w:r>
        <w:t>BACKGROUND</w:t>
      </w:r>
    </w:p>
    <w:p w:rsidR="00A26792" w:rsidRDefault="00A26792"/>
    <w:p w:rsidR="00A26792" w:rsidRDefault="00A26792">
      <w:r>
        <w:t>Pursuant to the Determination of the Competitive Range under RFP/Solicitation Number (RFP/Solicitation number) dated (date), and filed under TAB 13 of the Contract File, discussions/negotiations were held with all offerors determined to be in the Competitive Range (CR).  Discussions were completed on (date).  The Contract Specialist requested Final Proposal Revisions (FPR) on (date) to be submitted on (day), (date), no later than (time) local prevailing time.</w:t>
      </w:r>
    </w:p>
    <w:p w:rsidR="00A26792" w:rsidRDefault="00A26792"/>
    <w:p w:rsidR="00A26792" w:rsidRDefault="00A26792">
      <w:r>
        <w:t>The Contracting Specialist requested a final evaluation of the FPR on (date) from the Chairperson of the Technical Evaluation Panel.  The final evaluation report was received from the chairperson on (date). The following represents a summary of the offerors in the CR original and FPR scores/ratings, and proposed cost or price.</w:t>
      </w:r>
    </w:p>
    <w:p w:rsidR="00A26792" w:rsidRDefault="00A2679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5"/>
        <w:gridCol w:w="1915"/>
        <w:gridCol w:w="1915"/>
        <w:gridCol w:w="1915"/>
        <w:gridCol w:w="1916"/>
      </w:tblGrid>
      <w:tr w:rsidR="00A26792">
        <w:tc>
          <w:tcPr>
            <w:tcW w:w="1915" w:type="dxa"/>
          </w:tcPr>
          <w:p w:rsidR="00A26792" w:rsidRDefault="00A26792">
            <w:r>
              <w:t>Offeror</w:t>
            </w:r>
          </w:p>
        </w:tc>
        <w:tc>
          <w:tcPr>
            <w:tcW w:w="1915" w:type="dxa"/>
          </w:tcPr>
          <w:p w:rsidR="00A26792" w:rsidRDefault="00A26792">
            <w:r>
              <w:t>Original Score/Rating</w:t>
            </w:r>
          </w:p>
        </w:tc>
        <w:tc>
          <w:tcPr>
            <w:tcW w:w="1915" w:type="dxa"/>
          </w:tcPr>
          <w:p w:rsidR="00A26792" w:rsidRDefault="00A26792">
            <w:r>
              <w:t>FPR Score/Rating</w:t>
            </w:r>
          </w:p>
        </w:tc>
        <w:tc>
          <w:tcPr>
            <w:tcW w:w="1915" w:type="dxa"/>
          </w:tcPr>
          <w:p w:rsidR="00A26792" w:rsidRDefault="00A26792">
            <w:r>
              <w:t>Original Cost/Price</w:t>
            </w:r>
          </w:p>
        </w:tc>
        <w:tc>
          <w:tcPr>
            <w:tcW w:w="1916" w:type="dxa"/>
          </w:tcPr>
          <w:p w:rsidR="00A26792" w:rsidRDefault="00A26792">
            <w:r>
              <w:t>FPR Cost/Price</w:t>
            </w:r>
          </w:p>
        </w:tc>
      </w:tr>
      <w:tr w:rsidR="00A26792">
        <w:tc>
          <w:tcPr>
            <w:tcW w:w="1915" w:type="dxa"/>
          </w:tcPr>
          <w:p w:rsidR="00A26792" w:rsidRDefault="00A26792"/>
        </w:tc>
        <w:tc>
          <w:tcPr>
            <w:tcW w:w="1915" w:type="dxa"/>
          </w:tcPr>
          <w:p w:rsidR="00A26792" w:rsidRDefault="00A26792"/>
        </w:tc>
        <w:tc>
          <w:tcPr>
            <w:tcW w:w="1915" w:type="dxa"/>
          </w:tcPr>
          <w:p w:rsidR="00A26792" w:rsidRDefault="00A26792"/>
        </w:tc>
        <w:tc>
          <w:tcPr>
            <w:tcW w:w="1915" w:type="dxa"/>
          </w:tcPr>
          <w:p w:rsidR="00A26792" w:rsidRDefault="00A26792"/>
        </w:tc>
        <w:tc>
          <w:tcPr>
            <w:tcW w:w="1916" w:type="dxa"/>
          </w:tcPr>
          <w:p w:rsidR="00A26792" w:rsidRDefault="00A26792"/>
        </w:tc>
      </w:tr>
      <w:tr w:rsidR="00A26792">
        <w:tc>
          <w:tcPr>
            <w:tcW w:w="1915" w:type="dxa"/>
          </w:tcPr>
          <w:p w:rsidR="00A26792" w:rsidRDefault="00A26792"/>
        </w:tc>
        <w:tc>
          <w:tcPr>
            <w:tcW w:w="1915" w:type="dxa"/>
          </w:tcPr>
          <w:p w:rsidR="00A26792" w:rsidRDefault="00A26792"/>
        </w:tc>
        <w:tc>
          <w:tcPr>
            <w:tcW w:w="1915" w:type="dxa"/>
          </w:tcPr>
          <w:p w:rsidR="00A26792" w:rsidRDefault="00A26792"/>
        </w:tc>
        <w:tc>
          <w:tcPr>
            <w:tcW w:w="1915" w:type="dxa"/>
          </w:tcPr>
          <w:p w:rsidR="00A26792" w:rsidRDefault="00A26792"/>
        </w:tc>
        <w:tc>
          <w:tcPr>
            <w:tcW w:w="1916" w:type="dxa"/>
          </w:tcPr>
          <w:p w:rsidR="00A26792" w:rsidRDefault="00A26792"/>
        </w:tc>
      </w:tr>
      <w:tr w:rsidR="00A26792">
        <w:tc>
          <w:tcPr>
            <w:tcW w:w="1915" w:type="dxa"/>
          </w:tcPr>
          <w:p w:rsidR="00A26792" w:rsidRDefault="00A26792"/>
        </w:tc>
        <w:tc>
          <w:tcPr>
            <w:tcW w:w="1915" w:type="dxa"/>
          </w:tcPr>
          <w:p w:rsidR="00A26792" w:rsidRDefault="00A26792"/>
        </w:tc>
        <w:tc>
          <w:tcPr>
            <w:tcW w:w="1915" w:type="dxa"/>
          </w:tcPr>
          <w:p w:rsidR="00A26792" w:rsidRDefault="00A26792"/>
        </w:tc>
        <w:tc>
          <w:tcPr>
            <w:tcW w:w="1915" w:type="dxa"/>
          </w:tcPr>
          <w:p w:rsidR="00A26792" w:rsidRDefault="00A26792"/>
        </w:tc>
        <w:tc>
          <w:tcPr>
            <w:tcW w:w="1916" w:type="dxa"/>
          </w:tcPr>
          <w:p w:rsidR="00A26792" w:rsidRDefault="00A26792"/>
        </w:tc>
      </w:tr>
      <w:tr w:rsidR="00A26792">
        <w:tc>
          <w:tcPr>
            <w:tcW w:w="1915" w:type="dxa"/>
          </w:tcPr>
          <w:p w:rsidR="00A26792" w:rsidRDefault="00A26792"/>
        </w:tc>
        <w:tc>
          <w:tcPr>
            <w:tcW w:w="1915" w:type="dxa"/>
          </w:tcPr>
          <w:p w:rsidR="00A26792" w:rsidRDefault="00A26792"/>
        </w:tc>
        <w:tc>
          <w:tcPr>
            <w:tcW w:w="1915" w:type="dxa"/>
          </w:tcPr>
          <w:p w:rsidR="00A26792" w:rsidRDefault="00A26792"/>
        </w:tc>
        <w:tc>
          <w:tcPr>
            <w:tcW w:w="1915" w:type="dxa"/>
          </w:tcPr>
          <w:p w:rsidR="00A26792" w:rsidRDefault="00A26792"/>
        </w:tc>
        <w:tc>
          <w:tcPr>
            <w:tcW w:w="1916" w:type="dxa"/>
          </w:tcPr>
          <w:p w:rsidR="00A26792" w:rsidRDefault="00A26792"/>
        </w:tc>
      </w:tr>
    </w:tbl>
    <w:p w:rsidR="00A26792" w:rsidRDefault="00A26792"/>
    <w:p w:rsidR="00A26792" w:rsidRDefault="00A26792">
      <w:r>
        <w:t>Details of the evaluation of the FPR are contained under Tab 11 of the Contract File.  Details of the cost realism analysis (for cost reimbursement type of contracts) that determine what the Government should realistically expect to pay for the proposed effort are contained under Tab 12 of the Contract File.</w:t>
      </w:r>
    </w:p>
    <w:p w:rsidR="00A26792" w:rsidRDefault="00A26792"/>
    <w:p w:rsidR="00A26792" w:rsidRDefault="00A26792"/>
    <w:p w:rsidR="00A26792" w:rsidRDefault="00A26792">
      <w:pPr>
        <w:pStyle w:val="Heading1"/>
      </w:pPr>
      <w:r>
        <w:t>EVALUATION METHODOLOGY</w:t>
      </w:r>
    </w:p>
    <w:p w:rsidR="00A26792" w:rsidRDefault="00A26792"/>
    <w:p w:rsidR="00A26792" w:rsidRDefault="00A26792">
      <w:pPr>
        <w:pStyle w:val="Heading2"/>
        <w:tabs>
          <w:tab w:val="clear" w:pos="1440"/>
          <w:tab w:val="left" w:pos="720"/>
        </w:tabs>
      </w:pPr>
      <w:r>
        <w:t>A.</w:t>
      </w:r>
      <w:r>
        <w:tab/>
        <w:t>Best Value (BV) Continuum</w:t>
      </w:r>
    </w:p>
    <w:p w:rsidR="00A26792" w:rsidRDefault="00A26792"/>
    <w:p w:rsidR="00A26792" w:rsidRDefault="00A26792">
      <w:pPr>
        <w:sectPr w:rsidR="00A26792">
          <w:headerReference w:type="default" r:id="rId8"/>
          <w:footerReference w:type="default" r:id="rId9"/>
          <w:pgSz w:w="12240" w:h="15840" w:code="1"/>
          <w:pgMar w:top="720" w:right="1440" w:bottom="1440" w:left="1440" w:header="720" w:footer="720" w:gutter="0"/>
          <w:cols w:space="720"/>
          <w:titlePg/>
        </w:sectPr>
      </w:pPr>
      <w:r>
        <w:t xml:space="preserve">Pursuant to the Best Value (BV) continuum contained in Section M of the RFP/Solicitation, the Tradeoff process was used where all evaluation factors other than cost or price, when combined, were considered to be more important than cost or price.  The Tradeoff process was determined to be in the best interest of the Government in that it permits tradeoffs among cost or price and </w:t>
      </w:r>
    </w:p>
    <w:p w:rsidR="00A26792" w:rsidRDefault="00A26792">
      <w:r>
        <w:lastRenderedPageBreak/>
        <w:t>non-cost evaluation factors and allows the Government to award to other than the lowest cost/price offeror or other than the highest technically rated offeror.</w:t>
      </w:r>
    </w:p>
    <w:p w:rsidR="00A26792" w:rsidRDefault="00A26792"/>
    <w:p w:rsidR="00A26792" w:rsidRDefault="00A26792">
      <w:pPr>
        <w:pStyle w:val="Heading2"/>
        <w:tabs>
          <w:tab w:val="clear" w:pos="1440"/>
          <w:tab w:val="clear" w:pos="7815"/>
        </w:tabs>
        <w:rPr>
          <w:rFonts w:ascii="Times" w:eastAsia="Times" w:hAnsi="Times"/>
          <w:szCs w:val="20"/>
        </w:rPr>
      </w:pPr>
      <w:r>
        <w:rPr>
          <w:rFonts w:ascii="Times" w:eastAsia="Times" w:hAnsi="Times"/>
          <w:szCs w:val="20"/>
        </w:rPr>
        <w:t>NOTES</w:t>
      </w:r>
    </w:p>
    <w:p w:rsidR="00A26792" w:rsidRDefault="00A26792"/>
    <w:p w:rsidR="00A26792" w:rsidRDefault="00A26792" w:rsidP="00A26792">
      <w:pPr>
        <w:numPr>
          <w:ilvl w:val="0"/>
          <w:numId w:val="3"/>
        </w:numPr>
      </w:pPr>
      <w:r>
        <w:t>After receipt of the FPR and consistent with Section M, the Government should compare each of the competing proposals on the basis of total costs, technical quality, and how the strengths, deficiencies, weaknesses, risks, and proposal discriminators impacted the offeror’s ability to perform the agency’s requirement.</w:t>
      </w:r>
    </w:p>
    <w:p w:rsidR="00A26792" w:rsidRDefault="00A26792">
      <w:pPr>
        <w:ind w:left="360"/>
      </w:pPr>
    </w:p>
    <w:p w:rsidR="00A26792" w:rsidRDefault="00A26792" w:rsidP="00A26792">
      <w:pPr>
        <w:numPr>
          <w:ilvl w:val="0"/>
          <w:numId w:val="3"/>
        </w:numPr>
      </w:pPr>
      <w:r>
        <w:t>Consistent with the Section M evaluation methodology and after the Government has completed its evaluation and comparison of the individual competing proposals; the possible outcomes of the comparison are:</w:t>
      </w:r>
    </w:p>
    <w:p w:rsidR="00A26792" w:rsidRDefault="00A26792"/>
    <w:p w:rsidR="00A26792" w:rsidRDefault="00A26792" w:rsidP="00A26792">
      <w:pPr>
        <w:numPr>
          <w:ilvl w:val="1"/>
          <w:numId w:val="3"/>
        </w:numPr>
      </w:pPr>
      <w:r>
        <w:t>More than one proposal may be determined to be technically equal.  In this comparison, the BV award should be made to the offer that submitted the lowest cost based upon a cost reasonableness analysis.</w:t>
      </w:r>
    </w:p>
    <w:p w:rsidR="00A26792" w:rsidRDefault="00A26792">
      <w:pPr>
        <w:ind w:left="1080"/>
      </w:pPr>
    </w:p>
    <w:p w:rsidR="00A26792" w:rsidRDefault="00A26792" w:rsidP="00A26792">
      <w:pPr>
        <w:numPr>
          <w:ilvl w:val="1"/>
          <w:numId w:val="3"/>
        </w:numPr>
      </w:pPr>
      <w:r>
        <w:t>Where an offeror has the highest rated technical proposal and is the lowest cost based upon a cost reasonableness analysis.  In this comparison, that offeror should receive the BV award.</w:t>
      </w:r>
    </w:p>
    <w:p w:rsidR="00A26792" w:rsidRDefault="00A26792"/>
    <w:p w:rsidR="00A26792" w:rsidRDefault="00A26792" w:rsidP="00A26792">
      <w:pPr>
        <w:numPr>
          <w:ilvl w:val="1"/>
          <w:numId w:val="3"/>
        </w:numPr>
      </w:pPr>
      <w:r>
        <w:t>Where the highest rated technical proposal is not the lowest cost proposal, based upon a cost reasonableness analysis, and award is recommended to the highest rated technical proposal.  In this comparison, the Contracting Officer must perform a cost/technical tradeoff (see FAR 15.101-1) to determine whether the technical superiority of the higher rated technical proposal(s) warrants the additional costs.</w:t>
      </w:r>
    </w:p>
    <w:p w:rsidR="00A26792" w:rsidRDefault="00A26792"/>
    <w:p w:rsidR="00A26792" w:rsidRDefault="00A26792" w:rsidP="00A26792">
      <w:pPr>
        <w:pStyle w:val="Heading2"/>
        <w:numPr>
          <w:ilvl w:val="2"/>
          <w:numId w:val="3"/>
        </w:numPr>
        <w:tabs>
          <w:tab w:val="clear" w:pos="1440"/>
          <w:tab w:val="clear" w:pos="2700"/>
          <w:tab w:val="left" w:pos="0"/>
          <w:tab w:val="num" w:pos="720"/>
        </w:tabs>
        <w:ind w:hanging="2700"/>
      </w:pPr>
      <w:r>
        <w:t>Tradeoff Process</w:t>
      </w:r>
    </w:p>
    <w:p w:rsidR="00A26792" w:rsidRDefault="00A26792"/>
    <w:p w:rsidR="00A26792" w:rsidRDefault="00A26792" w:rsidP="00A26792">
      <w:pPr>
        <w:pStyle w:val="Heading4"/>
        <w:numPr>
          <w:ilvl w:val="2"/>
          <w:numId w:val="4"/>
        </w:numPr>
        <w:rPr>
          <w:b w:val="0"/>
        </w:rPr>
      </w:pPr>
      <w:r>
        <w:rPr>
          <w:b w:val="0"/>
        </w:rPr>
        <w:t>The cost/technical tradeoff and the source selection decision, which must be consistent with Section M of the solicitation/RFP, requires effective business judgment in the selection of the offeror representing the BV award.</w:t>
      </w:r>
    </w:p>
    <w:p w:rsidR="00A26792" w:rsidRDefault="00A26792"/>
    <w:p w:rsidR="00A26792" w:rsidRDefault="00A26792" w:rsidP="00A26792">
      <w:pPr>
        <w:numPr>
          <w:ilvl w:val="2"/>
          <w:numId w:val="4"/>
        </w:numPr>
      </w:pPr>
      <w:r>
        <w:t>In the Tradeoff process it is:</w:t>
      </w:r>
    </w:p>
    <w:p w:rsidR="00A26792" w:rsidRDefault="00A26792"/>
    <w:p w:rsidR="00A26792" w:rsidRDefault="00A26792" w:rsidP="00A26792">
      <w:pPr>
        <w:numPr>
          <w:ilvl w:val="3"/>
          <w:numId w:val="4"/>
        </w:numPr>
      </w:pPr>
      <w:r>
        <w:t>Essential to document the cost/technical tradeoff judgments in detail with relevant facts and supporting rationale;</w:t>
      </w:r>
    </w:p>
    <w:p w:rsidR="00A26792" w:rsidRDefault="00A26792" w:rsidP="00A26792">
      <w:pPr>
        <w:numPr>
          <w:ilvl w:val="3"/>
          <w:numId w:val="4"/>
        </w:numPr>
      </w:pPr>
      <w:r>
        <w:t>Not acceptable to state only conclusions;</w:t>
      </w:r>
    </w:p>
    <w:p w:rsidR="00A26792" w:rsidRDefault="00A26792" w:rsidP="00A26792">
      <w:pPr>
        <w:numPr>
          <w:ilvl w:val="3"/>
          <w:numId w:val="4"/>
        </w:numPr>
      </w:pPr>
      <w:r>
        <w:t>Necessary to document and justify the expenditure of additional funds regardless of the superiority of the higher rated technical proposal;</w:t>
      </w:r>
    </w:p>
    <w:p w:rsidR="00A26792" w:rsidRDefault="00A26792" w:rsidP="00A26792">
      <w:pPr>
        <w:numPr>
          <w:ilvl w:val="3"/>
          <w:numId w:val="4"/>
        </w:numPr>
      </w:pPr>
      <w:r>
        <w:t>Necessary to clearly state what value the Government is getting for the added cost and why it is in the Government’s interest to expend the additional funds; and</w:t>
      </w:r>
    </w:p>
    <w:p w:rsidR="00A26792" w:rsidRDefault="00A26792" w:rsidP="00A26792">
      <w:pPr>
        <w:numPr>
          <w:ilvl w:val="3"/>
          <w:numId w:val="4"/>
        </w:numPr>
      </w:pPr>
      <w:r>
        <w:lastRenderedPageBreak/>
        <w:t>Necessary to document the value of the differences in the technical ratings based upon the strengths, deficiencies, weaknesses, risks, and discriminators of each offer.</w:t>
      </w:r>
    </w:p>
    <w:p w:rsidR="00A26792" w:rsidRDefault="00A26792"/>
    <w:p w:rsidR="00A26792" w:rsidRDefault="00A26792" w:rsidP="00A26792">
      <w:pPr>
        <w:numPr>
          <w:ilvl w:val="2"/>
          <w:numId w:val="4"/>
        </w:numPr>
      </w:pPr>
      <w:r>
        <w:t xml:space="preserve">In the Tradeoff process and source selection determination, the Contracting Officer must analyze the significant areas of differences among the proposals.  The areas of difference are commonly referred to as </w:t>
      </w:r>
      <w:r>
        <w:rPr>
          <w:u w:val="single"/>
        </w:rPr>
        <w:t>DISCRIMINATORS</w:t>
      </w:r>
      <w:r>
        <w:t>.</w:t>
      </w:r>
    </w:p>
    <w:p w:rsidR="00A26792" w:rsidRDefault="00A26792">
      <w:pPr>
        <w:ind w:left="1080"/>
      </w:pPr>
    </w:p>
    <w:p w:rsidR="00A26792" w:rsidRDefault="00A26792" w:rsidP="00A26792">
      <w:pPr>
        <w:numPr>
          <w:ilvl w:val="2"/>
          <w:numId w:val="4"/>
        </w:numPr>
      </w:pPr>
      <w:r>
        <w:t>To determine the Discriminators among the proposals, the Contracting Officer should consider:</w:t>
      </w:r>
    </w:p>
    <w:p w:rsidR="00A26792" w:rsidRDefault="00A26792"/>
    <w:p w:rsidR="00A26792" w:rsidRDefault="00A26792" w:rsidP="00A26792">
      <w:pPr>
        <w:numPr>
          <w:ilvl w:val="3"/>
          <w:numId w:val="4"/>
        </w:numPr>
      </w:pPr>
      <w:r>
        <w:t>The comparison of the strengths, deficiencies, weaknesses, risks and proposed cost of each proposal, and</w:t>
      </w:r>
    </w:p>
    <w:p w:rsidR="00A26792" w:rsidRDefault="00A26792">
      <w:pPr>
        <w:ind w:left="1440"/>
      </w:pPr>
    </w:p>
    <w:p w:rsidR="00A26792" w:rsidRDefault="00A26792" w:rsidP="00A26792">
      <w:pPr>
        <w:numPr>
          <w:ilvl w:val="3"/>
          <w:numId w:val="4"/>
        </w:numPr>
      </w:pPr>
      <w:r>
        <w:t>That they reflect the proposal’s distinguishing features because:</w:t>
      </w:r>
    </w:p>
    <w:p w:rsidR="00A26792" w:rsidRDefault="00A26792">
      <w:pPr>
        <w:ind w:left="720"/>
      </w:pPr>
    </w:p>
    <w:p w:rsidR="00A26792" w:rsidRDefault="00A26792" w:rsidP="00A26792">
      <w:pPr>
        <w:numPr>
          <w:ilvl w:val="4"/>
          <w:numId w:val="4"/>
        </w:numPr>
      </w:pPr>
      <w:r>
        <w:t>They represent comparative differences between proposals;</w:t>
      </w:r>
    </w:p>
    <w:p w:rsidR="00A26792" w:rsidRDefault="00A26792" w:rsidP="00A26792">
      <w:pPr>
        <w:numPr>
          <w:ilvl w:val="4"/>
          <w:numId w:val="4"/>
        </w:numPr>
      </w:pPr>
      <w:r>
        <w:t>They are important to the Agency’s mission or program objectives; and,</w:t>
      </w:r>
    </w:p>
    <w:p w:rsidR="00A26792" w:rsidRDefault="00A26792" w:rsidP="00A26792">
      <w:pPr>
        <w:numPr>
          <w:ilvl w:val="4"/>
          <w:numId w:val="4"/>
        </w:numPr>
      </w:pPr>
      <w:r>
        <w:t>They are expected to effect or impact the Agency’s operations.</w:t>
      </w:r>
    </w:p>
    <w:p w:rsidR="00A26792" w:rsidRDefault="00A26792"/>
    <w:p w:rsidR="00A26792" w:rsidRDefault="00A26792"/>
    <w:p w:rsidR="00A26792" w:rsidRDefault="00A26792">
      <w:pPr>
        <w:pStyle w:val="Heading1"/>
      </w:pPr>
      <w:r>
        <w:t>DOCUMENTING PROPOSAL COMPARISONS</w:t>
      </w:r>
    </w:p>
    <w:p w:rsidR="00A26792" w:rsidRDefault="00A26792"/>
    <w:p w:rsidR="00A26792" w:rsidRDefault="00A26792">
      <w:r>
        <w:t>The source selection determination of the BV award should be based upon documented proposal analyses and comparisons that should be used to aid to the Contracting Officer in making a decision, not as a substitute for his selection judgment.</w:t>
      </w:r>
    </w:p>
    <w:p w:rsidR="00A26792" w:rsidRDefault="00A26792"/>
    <w:p w:rsidR="00A26792" w:rsidRDefault="00A26792">
      <w:r>
        <w:t>The documented analyses and comparisons of the proposals leading to the BV award determination should reflect:</w:t>
      </w:r>
    </w:p>
    <w:p w:rsidR="00A26792" w:rsidRDefault="00A26792"/>
    <w:p w:rsidR="00A26792" w:rsidRDefault="00A26792" w:rsidP="00A26792">
      <w:pPr>
        <w:numPr>
          <w:ilvl w:val="2"/>
          <w:numId w:val="2"/>
        </w:numPr>
      </w:pPr>
      <w:r>
        <w:t>A summary of each proposal;</w:t>
      </w:r>
    </w:p>
    <w:p w:rsidR="00A26792" w:rsidRDefault="00A26792">
      <w:pPr>
        <w:ind w:left="1080"/>
      </w:pPr>
    </w:p>
    <w:p w:rsidR="00A26792" w:rsidRDefault="00A26792" w:rsidP="00A26792">
      <w:pPr>
        <w:numPr>
          <w:ilvl w:val="2"/>
          <w:numId w:val="2"/>
        </w:numPr>
      </w:pPr>
      <w:r>
        <w:t xml:space="preserve">The comparative </w:t>
      </w:r>
      <w:r w:rsidR="00673AE1">
        <w:t>assessment</w:t>
      </w:r>
      <w:r w:rsidR="00673AE1">
        <w:t xml:space="preserve"> </w:t>
      </w:r>
      <w:r>
        <w:t>of both total cost and technical factors;</w:t>
      </w:r>
    </w:p>
    <w:p w:rsidR="00A26792" w:rsidRDefault="00A26792">
      <w:pPr>
        <w:ind w:left="1080"/>
      </w:pPr>
    </w:p>
    <w:p w:rsidR="00A26792" w:rsidRDefault="00A26792" w:rsidP="00A26792">
      <w:pPr>
        <w:numPr>
          <w:ilvl w:val="2"/>
          <w:numId w:val="2"/>
        </w:numPr>
      </w:pPr>
      <w:r>
        <w:t>An understanding of the reasonableness, realism, and completeness of each offeror’s proposal;</w:t>
      </w:r>
    </w:p>
    <w:p w:rsidR="00A26792" w:rsidRDefault="00A26792"/>
    <w:p w:rsidR="00A26792" w:rsidRDefault="00A26792" w:rsidP="00A26792">
      <w:pPr>
        <w:numPr>
          <w:ilvl w:val="2"/>
          <w:numId w:val="2"/>
        </w:numPr>
      </w:pPr>
      <w:r>
        <w:t>Each proposal’s major strengths, deficiencies, weaknesses; and</w:t>
      </w:r>
    </w:p>
    <w:p w:rsidR="00A26792" w:rsidRDefault="00A26792">
      <w:pPr>
        <w:ind w:left="1080"/>
      </w:pPr>
    </w:p>
    <w:p w:rsidR="00A26792" w:rsidRDefault="00A26792" w:rsidP="00A26792">
      <w:pPr>
        <w:numPr>
          <w:ilvl w:val="2"/>
          <w:numId w:val="2"/>
        </w:numPr>
      </w:pPr>
      <w:r>
        <w:t>The impact of the significant risks associated with each proposal including:</w:t>
      </w:r>
    </w:p>
    <w:p w:rsidR="00A26792" w:rsidRDefault="00A26792" w:rsidP="00A26792">
      <w:pPr>
        <w:numPr>
          <w:ilvl w:val="3"/>
          <w:numId w:val="2"/>
        </w:numPr>
      </w:pPr>
      <w:r>
        <w:t xml:space="preserve">Technical risks inherent in offeror’s proposals; </w:t>
      </w:r>
    </w:p>
    <w:p w:rsidR="00A26792" w:rsidRDefault="00A26792" w:rsidP="00A26792">
      <w:pPr>
        <w:numPr>
          <w:ilvl w:val="3"/>
          <w:numId w:val="2"/>
        </w:numPr>
      </w:pPr>
      <w:r>
        <w:t>Schedule risks as assessed against the offeror’s technical approach;</w:t>
      </w:r>
    </w:p>
    <w:p w:rsidR="00A26792" w:rsidRDefault="00A26792" w:rsidP="00A26792">
      <w:pPr>
        <w:numPr>
          <w:ilvl w:val="3"/>
          <w:numId w:val="2"/>
        </w:numPr>
      </w:pPr>
      <w:r>
        <w:t>Degree of confidence in the offeror’s cost proposal and accounting system; and,</w:t>
      </w:r>
    </w:p>
    <w:p w:rsidR="00A26792" w:rsidRDefault="00A26792" w:rsidP="00A26792">
      <w:pPr>
        <w:numPr>
          <w:ilvl w:val="3"/>
          <w:numId w:val="2"/>
        </w:numPr>
      </w:pPr>
      <w:r>
        <w:t>An assessment of the offeror’s past performance.</w:t>
      </w:r>
    </w:p>
    <w:p w:rsidR="00A26792" w:rsidRDefault="00A26792" w:rsidP="00A26792">
      <w:pPr>
        <w:numPr>
          <w:ilvl w:val="2"/>
          <w:numId w:val="2"/>
        </w:numPr>
      </w:pPr>
      <w:r>
        <w:lastRenderedPageBreak/>
        <w:t xml:space="preserve">A summary of the Technical Evaluation Panel’s comparative </w:t>
      </w:r>
      <w:r w:rsidR="00673AE1">
        <w:t>assessment</w:t>
      </w:r>
      <w:r w:rsidR="00673AE1">
        <w:t xml:space="preserve">s </w:t>
      </w:r>
      <w:r>
        <w:t>expressed in brief issue statements considered to be significant to the Contracting Officer’s source selection determination.</w:t>
      </w:r>
    </w:p>
    <w:p w:rsidR="00A26792" w:rsidRDefault="00A26792">
      <w:pPr>
        <w:ind w:left="1080"/>
      </w:pPr>
    </w:p>
    <w:p w:rsidR="00A26792" w:rsidRDefault="00A26792"/>
    <w:p w:rsidR="00A26792" w:rsidRDefault="00A26792">
      <w:pPr>
        <w:pStyle w:val="Heading1"/>
        <w:tabs>
          <w:tab w:val="left" w:pos="720"/>
        </w:tabs>
        <w:ind w:left="720" w:hanging="720"/>
      </w:pPr>
      <w:r>
        <w:t>SOURCE SELECTION AUTHORITY’S DETERMINATION</w:t>
      </w:r>
    </w:p>
    <w:p w:rsidR="00A26792" w:rsidRDefault="00A26792"/>
    <w:p w:rsidR="00A26792" w:rsidRDefault="00A26792">
      <w:r>
        <w:t>Pursuant to FAR Part 15.303(a), Agency Heads are responsible for source selection.  The Contracting Officer is the source selection authority, unless the Agency Head appoints another individual for a particular acquisition or group of acquisition.</w:t>
      </w:r>
    </w:p>
    <w:p w:rsidR="00A26792" w:rsidRDefault="00A26792"/>
    <w:p w:rsidR="00A26792" w:rsidRDefault="00A26792">
      <w:r>
        <w:t xml:space="preserve">Based upon the comparative </w:t>
      </w:r>
      <w:r w:rsidR="00673AE1">
        <w:t>assessment</w:t>
      </w:r>
      <w:r w:rsidR="00673AE1">
        <w:t xml:space="preserve">s </w:t>
      </w:r>
      <w:bookmarkStart w:id="0" w:name="_GoBack"/>
      <w:bookmarkEnd w:id="0"/>
      <w:r>
        <w:t>of the proposals as set forth above, it is my determination that the proposal submitted by (insert name of winning offeror) at an estimated total cost of (insert $ amount) represents the Best Value award for the Government.</w:t>
      </w:r>
    </w:p>
    <w:p w:rsidR="00A26792" w:rsidRDefault="00A26792"/>
    <w:p w:rsidR="00A26792" w:rsidRDefault="00A26792"/>
    <w:p w:rsidR="00A26792" w:rsidRDefault="00A26792">
      <w:r>
        <w:t>APPROVED:</w:t>
      </w:r>
    </w:p>
    <w:p w:rsidR="00A26792" w:rsidRDefault="00A26792"/>
    <w:p w:rsidR="00A26792" w:rsidRDefault="00A26792"/>
    <w:p w:rsidR="00A26792" w:rsidRDefault="00A26792">
      <w:r>
        <w:t>_____________________________________________</w:t>
      </w:r>
      <w:r>
        <w:tab/>
        <w:t>_______________________</w:t>
      </w:r>
    </w:p>
    <w:p w:rsidR="00A26792" w:rsidRDefault="00A26792">
      <w:r>
        <w:t>Contracting Officer</w:t>
      </w:r>
      <w:r>
        <w:tab/>
      </w:r>
      <w:r>
        <w:tab/>
      </w:r>
      <w:r>
        <w:tab/>
      </w:r>
      <w:r>
        <w:tab/>
      </w:r>
      <w:r w:rsidR="007E0656">
        <w:tab/>
      </w:r>
      <w:r w:rsidR="007E0656">
        <w:tab/>
      </w:r>
      <w:r>
        <w:t>Date</w:t>
      </w:r>
    </w:p>
    <w:sectPr w:rsidR="00A26792">
      <w:headerReference w:type="first" r:id="rId10"/>
      <w:type w:val="continuous"/>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2F4D" w:rsidRDefault="00F32F4D" w:rsidP="00A26792">
      <w:r>
        <w:separator/>
      </w:r>
    </w:p>
  </w:endnote>
  <w:endnote w:type="continuationSeparator" w:id="0">
    <w:p w:rsidR="00F32F4D" w:rsidRDefault="00F32F4D" w:rsidP="00A26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6792" w:rsidRDefault="00A26792">
    <w:pPr>
      <w:spacing w:line="240" w:lineRule="exact"/>
      <w:jc w:val="center"/>
      <w:rPr>
        <w:sz w:val="20"/>
      </w:rPr>
    </w:pPr>
  </w:p>
  <w:p w:rsidR="00A26792" w:rsidRDefault="00A26792">
    <w:pPr>
      <w:framePr w:w="11089" w:wrap="notBeside" w:vAnchor="text" w:hAnchor="text" w:x="1" w:y="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2F4D" w:rsidRDefault="00F32F4D" w:rsidP="00A26792">
      <w:r>
        <w:separator/>
      </w:r>
    </w:p>
  </w:footnote>
  <w:footnote w:type="continuationSeparator" w:id="0">
    <w:p w:rsidR="00F32F4D" w:rsidRDefault="00F32F4D" w:rsidP="00A26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6792" w:rsidRDefault="00A26792">
    <w:pPr>
      <w:pStyle w:val="Header"/>
      <w:rPr>
        <w:sz w:val="20"/>
      </w:rPr>
    </w:pPr>
    <w:r>
      <w:rPr>
        <w:sz w:val="20"/>
      </w:rPr>
      <w:t>Source Selection Determination</w:t>
    </w:r>
  </w:p>
  <w:p w:rsidR="00A26792" w:rsidRDefault="00A26792">
    <w:pPr>
      <w:pStyle w:val="Header"/>
      <w:rPr>
        <w:sz w:val="20"/>
      </w:rPr>
    </w:pPr>
    <w:r>
      <w:rPr>
        <w:sz w:val="20"/>
      </w:rPr>
      <w:t xml:space="preserve">Page </w:t>
    </w:r>
    <w:r>
      <w:rPr>
        <w:sz w:val="20"/>
      </w:rPr>
      <w:fldChar w:fldCharType="begin"/>
    </w:r>
    <w:r>
      <w:rPr>
        <w:sz w:val="20"/>
      </w:rPr>
      <w:instrText xml:space="preserve"> PAGE </w:instrText>
    </w:r>
    <w:r>
      <w:rPr>
        <w:sz w:val="20"/>
      </w:rPr>
      <w:fldChar w:fldCharType="separate"/>
    </w:r>
    <w:r w:rsidR="007E0656">
      <w:rPr>
        <w:noProof/>
        <w:sz w:val="20"/>
      </w:rPr>
      <w:t>3</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sidR="007E0656">
      <w:rPr>
        <w:noProof/>
        <w:sz w:val="20"/>
      </w:rPr>
      <w:t>4</w:t>
    </w:r>
    <w:r>
      <w:rPr>
        <w:sz w:val="20"/>
      </w:rPr>
      <w:fldChar w:fldCharType="end"/>
    </w:r>
  </w:p>
  <w:p w:rsidR="00A26792" w:rsidRDefault="00A267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6792" w:rsidRDefault="00A26792">
    <w:pPr>
      <w:pStyle w:val="Header"/>
      <w:rPr>
        <w:sz w:val="20"/>
      </w:rPr>
    </w:pPr>
    <w:r>
      <w:rPr>
        <w:sz w:val="20"/>
      </w:rPr>
      <w:t>Source Selection Determination</w:t>
    </w:r>
  </w:p>
  <w:p w:rsidR="00A26792" w:rsidRDefault="00A26792">
    <w:pPr>
      <w:pStyle w:val="Header"/>
      <w:rPr>
        <w:sz w:val="20"/>
      </w:rPr>
    </w:pPr>
    <w:r>
      <w:rPr>
        <w:sz w:val="20"/>
      </w:rPr>
      <w:t xml:space="preserve">Page </w:t>
    </w:r>
    <w:r>
      <w:rPr>
        <w:sz w:val="20"/>
      </w:rPr>
      <w:fldChar w:fldCharType="begin"/>
    </w:r>
    <w:r>
      <w:rPr>
        <w:sz w:val="20"/>
      </w:rPr>
      <w:instrText xml:space="preserve"> PAGE </w:instrText>
    </w:r>
    <w:r>
      <w:rPr>
        <w:sz w:val="20"/>
      </w:rPr>
      <w:fldChar w:fldCharType="separate"/>
    </w:r>
    <w:r w:rsidR="007E0656">
      <w:rPr>
        <w:noProof/>
        <w:sz w:val="20"/>
      </w:rPr>
      <w:t>2</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sidR="007E0656">
      <w:rPr>
        <w:noProof/>
        <w:sz w:val="20"/>
      </w:rPr>
      <w:t>4</w:t>
    </w:r>
    <w:r>
      <w:rPr>
        <w:sz w:val="20"/>
      </w:rPr>
      <w:fldChar w:fldCharType="end"/>
    </w:r>
  </w:p>
  <w:p w:rsidR="00A26792" w:rsidRDefault="00A267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BD05D0"/>
    <w:multiLevelType w:val="hybridMultilevel"/>
    <w:tmpl w:val="E0A83D2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96F01DEE">
      <w:start w:val="2"/>
      <w:numFmt w:val="upperLetter"/>
      <w:lvlText w:val="%3."/>
      <w:lvlJc w:val="left"/>
      <w:pPr>
        <w:tabs>
          <w:tab w:val="num" w:pos="2700"/>
        </w:tabs>
        <w:ind w:left="2700" w:hanging="72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9C22A9B"/>
    <w:multiLevelType w:val="multilevel"/>
    <w:tmpl w:val="7030581A"/>
    <w:lvl w:ilvl="0">
      <w:start w:val="10"/>
      <w:numFmt w:val="decimal"/>
      <w:lvlText w:val="(%1)"/>
      <w:lvlJc w:val="left"/>
      <w:pPr>
        <w:tabs>
          <w:tab w:val="num" w:pos="432"/>
        </w:tabs>
        <w:ind w:left="432" w:hanging="360"/>
      </w:pPr>
      <w:rPr>
        <w:rFonts w:hint="default"/>
      </w:rPr>
    </w:lvl>
    <w:lvl w:ilvl="1">
      <w:start w:val="1"/>
      <w:numFmt w:val="lowerLetter"/>
      <w:pStyle w:val="BodyText3"/>
      <w:lvlText w:val="(%2)."/>
      <w:lvlJc w:val="left"/>
      <w:pPr>
        <w:tabs>
          <w:tab w:val="num" w:pos="1440"/>
        </w:tabs>
        <w:ind w:left="720" w:firstLine="0"/>
      </w:pPr>
      <w:rPr>
        <w:rFonts w:ascii="Times New Roman" w:hAnsi="Times New Roman" w:hint="default"/>
      </w:rPr>
    </w:lvl>
    <w:lvl w:ilvl="2">
      <w:start w:val="1"/>
      <w:numFmt w:val="lowerRoman"/>
      <w:lvlText w:val="(%3)"/>
      <w:lvlJc w:val="left"/>
      <w:pPr>
        <w:tabs>
          <w:tab w:val="num" w:pos="1872"/>
        </w:tabs>
        <w:ind w:left="1512" w:hanging="360"/>
      </w:pPr>
      <w:rPr>
        <w:rFonts w:hint="default"/>
      </w:rPr>
    </w:lvl>
    <w:lvl w:ilvl="3">
      <w:start w:val="1"/>
      <w:numFmt w:val="lowerLetter"/>
      <w:lvlText w:val="%4."/>
      <w:lvlJc w:val="left"/>
      <w:pPr>
        <w:tabs>
          <w:tab w:val="num" w:pos="1800"/>
        </w:tabs>
        <w:ind w:left="1800" w:hanging="360"/>
      </w:pPr>
      <w:rPr>
        <w:rFonts w:hint="default"/>
      </w:rPr>
    </w:lvl>
    <w:lvl w:ilvl="4">
      <w:start w:val="1"/>
      <w:numFmt w:val="decimal"/>
      <w:lvlRestart w:val="1"/>
      <w:lvlText w:val="(%5)"/>
      <w:lvlJc w:val="left"/>
      <w:pPr>
        <w:tabs>
          <w:tab w:val="num" w:pos="2160"/>
        </w:tabs>
        <w:ind w:left="2160" w:hanging="360"/>
      </w:pPr>
      <w:rPr>
        <w:rFonts w:hint="default"/>
      </w:rPr>
    </w:lvl>
    <w:lvl w:ilvl="5">
      <w:start w:val="1"/>
      <w:numFmt w:val="none"/>
      <w:lvlText w:val=""/>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3B073C00"/>
    <w:multiLevelType w:val="multilevel"/>
    <w:tmpl w:val="EDEAB758"/>
    <w:lvl w:ilvl="0">
      <w:start w:val="3"/>
      <w:numFmt w:val="upperRoman"/>
      <w:lvlText w:val="%1."/>
      <w:lvlJc w:val="left"/>
      <w:pPr>
        <w:tabs>
          <w:tab w:val="num" w:pos="720"/>
        </w:tabs>
        <w:ind w:left="360" w:hanging="360"/>
      </w:pPr>
      <w:rPr>
        <w:rFonts w:hint="default"/>
        <w:b/>
        <w:i w:val="0"/>
      </w:rPr>
    </w:lvl>
    <w:lvl w:ilvl="1">
      <w:start w:val="1"/>
      <w:numFmt w:val="upperLetter"/>
      <w:lvlRestart w:val="0"/>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rPr>
    </w:lvl>
    <w:lvl w:ilvl="4">
      <w:start w:val="1"/>
      <w:numFmt w:val="decimal"/>
      <w:lvlRestart w:val="1"/>
      <w:lvlText w:val="(%5)"/>
      <w:lvlJc w:val="left"/>
      <w:pPr>
        <w:tabs>
          <w:tab w:val="num" w:pos="2160"/>
        </w:tabs>
        <w:ind w:left="2160" w:hanging="360"/>
      </w:pPr>
      <w:rPr>
        <w:rFonts w:hint="default"/>
      </w:rPr>
    </w:lvl>
    <w:lvl w:ilvl="5">
      <w:start w:val="1"/>
      <w:numFmt w:val="none"/>
      <w:lvlText w:val=""/>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6E8D61C4"/>
    <w:multiLevelType w:val="multilevel"/>
    <w:tmpl w:val="C932099C"/>
    <w:lvl w:ilvl="0">
      <w:start w:val="1"/>
      <w:numFmt w:val="upperRoman"/>
      <w:pStyle w:val="Heading1"/>
      <w:lvlText w:val="%1."/>
      <w:lvlJc w:val="left"/>
      <w:pPr>
        <w:tabs>
          <w:tab w:val="num" w:pos="720"/>
        </w:tabs>
        <w:ind w:left="360" w:hanging="360"/>
      </w:pPr>
      <w:rPr>
        <w:rFonts w:hint="default"/>
        <w:b/>
        <w:i w:val="0"/>
      </w:rPr>
    </w:lvl>
    <w:lvl w:ilvl="1">
      <w:start w:val="1"/>
      <w:numFmt w:val="upperLetter"/>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rPr>
    </w:lvl>
    <w:lvl w:ilvl="4">
      <w:start w:val="1"/>
      <w:numFmt w:val="decimal"/>
      <w:lvlRestart w:val="1"/>
      <w:lvlText w:val="(%5)"/>
      <w:lvlJc w:val="left"/>
      <w:pPr>
        <w:tabs>
          <w:tab w:val="num" w:pos="2160"/>
        </w:tabs>
        <w:ind w:left="2160" w:hanging="360"/>
      </w:pPr>
      <w:rPr>
        <w:rFonts w:hint="default"/>
      </w:rPr>
    </w:lvl>
    <w:lvl w:ilvl="5">
      <w:start w:val="1"/>
      <w:numFmt w:val="none"/>
      <w:lvlText w:val=""/>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
  </w:num>
  <w:num w:numId="2">
    <w:abstractNumId w:val="3"/>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2FB"/>
    <w:rsid w:val="00673AE1"/>
    <w:rsid w:val="007E0656"/>
    <w:rsid w:val="00A26792"/>
    <w:rsid w:val="00EE72FB"/>
    <w:rsid w:val="00F32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54FEC2"/>
  <w15:docId w15:val="{CD561E74-0EA3-4787-8BFC-16E05AB83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paragraph" w:styleId="Heading1">
    <w:name w:val="heading 1"/>
    <w:basedOn w:val="Normal"/>
    <w:next w:val="Normal"/>
    <w:qFormat/>
    <w:pPr>
      <w:keepNext/>
      <w:numPr>
        <w:numId w:val="2"/>
      </w:numPr>
      <w:ind w:right="720"/>
      <w:outlineLvl w:val="0"/>
    </w:pPr>
    <w:rPr>
      <w:b/>
      <w:bCs/>
    </w:rPr>
  </w:style>
  <w:style w:type="paragraph" w:styleId="Heading2">
    <w:name w:val="heading 2"/>
    <w:basedOn w:val="Normal"/>
    <w:next w:val="Normal"/>
    <w:qFormat/>
    <w:pPr>
      <w:keepNext/>
      <w:tabs>
        <w:tab w:val="left" w:pos="1440"/>
        <w:tab w:val="left" w:pos="7815"/>
      </w:tabs>
      <w:outlineLvl w:val="1"/>
    </w:pPr>
    <w:rPr>
      <w:rFonts w:ascii="Times New Roman" w:eastAsia="Times New Roman" w:hAnsi="Times New Roman"/>
      <w:b/>
      <w:bCs/>
      <w:szCs w:val="24"/>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rFonts w:ascii="Times New Roman" w:eastAsia="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tabs>
        <w:tab w:val="left" w:pos="1440"/>
        <w:tab w:val="left" w:pos="2160"/>
        <w:tab w:val="left" w:pos="2880"/>
        <w:tab w:val="left" w:pos="3600"/>
        <w:tab w:val="left" w:pos="4320"/>
        <w:tab w:val="left" w:pos="5040"/>
        <w:tab w:val="left" w:pos="7815"/>
      </w:tabs>
      <w:ind w:left="2880" w:hanging="720"/>
    </w:pPr>
    <w:rPr>
      <w:rFonts w:ascii="Times New Roman" w:eastAsia="Times New Roman" w:hAnsi="Times New Roman"/>
      <w:szCs w:val="24"/>
    </w:rPr>
  </w:style>
  <w:style w:type="paragraph" w:styleId="BodyTextIndent3">
    <w:name w:val="Body Text Indent 3"/>
    <w:basedOn w:val="Normal"/>
    <w:semiHidden/>
    <w:pPr>
      <w:tabs>
        <w:tab w:val="left" w:pos="-1152"/>
        <w:tab w:val="left" w:pos="-432"/>
        <w:tab w:val="left" w:pos="288"/>
        <w:tab w:val="left" w:pos="1008"/>
        <w:tab w:val="left" w:pos="1728"/>
        <w:tab w:val="left" w:pos="2448"/>
        <w:tab w:val="left" w:pos="3168"/>
        <w:tab w:val="left" w:pos="3888"/>
        <w:tab w:val="left" w:pos="4608"/>
        <w:tab w:val="left" w:pos="5328"/>
        <w:tab w:val="left" w:pos="6048"/>
        <w:tab w:val="left" w:pos="6165"/>
        <w:tab w:val="left" w:pos="6768"/>
        <w:tab w:val="left" w:pos="7488"/>
        <w:tab w:val="left" w:pos="8208"/>
      </w:tabs>
      <w:ind w:firstLine="5445"/>
    </w:pPr>
    <w:rPr>
      <w:rFonts w:ascii="Times New Roman" w:hAnsi="Times New Roman"/>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semiHidden/>
    <w:rPr>
      <w:color w:val="0000FF"/>
      <w:u w:val="single"/>
    </w:rPr>
  </w:style>
  <w:style w:type="paragraph" w:styleId="BlockText">
    <w:name w:val="Block Text"/>
    <w:basedOn w:val="Normal"/>
    <w:semiHidden/>
    <w:pPr>
      <w:ind w:left="432" w:right="720"/>
    </w:pPr>
    <w:rPr>
      <w:rFonts w:ascii="Times New Roman" w:hAnsi="Times New Roman"/>
    </w:rPr>
  </w:style>
  <w:style w:type="character" w:styleId="FootnoteReference">
    <w:name w:val="footnote reference"/>
    <w:semiHidden/>
  </w:style>
  <w:style w:type="paragraph" w:styleId="BodyTextIndent">
    <w:name w:val="Body Text Indent"/>
    <w:basedOn w:val="Normal"/>
    <w:semiHidden/>
    <w:pPr>
      <w:tabs>
        <w:tab w:val="left" w:pos="-720"/>
      </w:tabs>
      <w:ind w:left="432"/>
    </w:pPr>
    <w:rPr>
      <w:rFonts w:ascii="Times New Roman" w:hAnsi="Times New Roman"/>
    </w:rPr>
  </w:style>
  <w:style w:type="paragraph" w:styleId="BodyText3">
    <w:name w:val="Body Text 3"/>
    <w:basedOn w:val="Normal"/>
    <w:semiHidden/>
    <w:pPr>
      <w:widowControl w:val="0"/>
      <w:numPr>
        <w:ilvl w:val="1"/>
        <w:numId w:val="1"/>
      </w:numPr>
      <w:ind w:right="432"/>
    </w:pPr>
    <w:rPr>
      <w:rFonts w:ascii="Times New Roman" w:eastAsia="Times New Roman" w:hAnsi="Times New Roman"/>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DFEA1BFB43CC44B467C1F0B22DCE6D" ma:contentTypeVersion="7" ma:contentTypeDescription="Create a new document." ma:contentTypeScope="" ma:versionID="cf3c0f6b4629ecc7998d034ab1e3e67a">
  <xsd:schema xmlns:xsd="http://www.w3.org/2001/XMLSchema" xmlns:xs="http://www.w3.org/2001/XMLSchema" xmlns:p="http://schemas.microsoft.com/office/2006/metadata/properties" xmlns:ns2="ab08c17d-2bcd-4bf4-9354-5377f604ffd9" targetNamespace="http://schemas.microsoft.com/office/2006/metadata/properties" ma:root="true" ma:fieldsID="692dc9a58b1325747fcb46f82bc10ba6" ns2:_="">
    <xsd:import namespace="ab08c17d-2bcd-4bf4-9354-5377f604ff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08c17d-2bcd-4bf4-9354-5377f604ff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5E6DE9-2225-4804-8BA1-10D1A7FF3F30}"/>
</file>

<file path=customXml/itemProps2.xml><?xml version="1.0" encoding="utf-8"?>
<ds:datastoreItem xmlns:ds="http://schemas.openxmlformats.org/officeDocument/2006/customXml" ds:itemID="{2AF28D61-8F8C-49D0-ADA2-51E426A9030B}"/>
</file>

<file path=customXml/itemProps3.xml><?xml version="1.0" encoding="utf-8"?>
<ds:datastoreItem xmlns:ds="http://schemas.openxmlformats.org/officeDocument/2006/customXml" ds:itemID="{5EC08D8B-6F6F-4DAF-A2D0-34B9FC43FA30}"/>
</file>

<file path=docProps/app.xml><?xml version="1.0" encoding="utf-8"?>
<Properties xmlns="http://schemas.openxmlformats.org/officeDocument/2006/extended-properties" xmlns:vt="http://schemas.openxmlformats.org/officeDocument/2006/docPropsVTypes">
  <Template>Normal</Template>
  <TotalTime>0</TotalTime>
  <Pages>4</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DEPARTMENT OF HEALTH &amp; HUMAN SERVICES</vt:lpstr>
    </vt:vector>
  </TitlesOfParts>
  <Company>HCFA</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HEALTH &amp; HUMAN SERVICES</dc:title>
  <dc:creator>Graphics</dc:creator>
  <cp:lastModifiedBy>Stefanie Schmitz</cp:lastModifiedBy>
  <cp:revision>2</cp:revision>
  <cp:lastPrinted>2004-07-08T11:16:00Z</cp:lastPrinted>
  <dcterms:created xsi:type="dcterms:W3CDTF">2022-08-29T17:53:00Z</dcterms:created>
  <dcterms:modified xsi:type="dcterms:W3CDTF">2022-08-29T17:53:00Z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372726866</vt:i4>
  </property>
  <property fmtid="{D5CDD505-2E9C-101B-9397-08002B2CF9AE}" pid="3" name="_NewReviewCycle">
    <vt:lpwstr/>
  </property>
  <property fmtid="{D5CDD505-2E9C-101B-9397-08002B2CF9AE}" pid="4" name="_EmailSubject">
    <vt:lpwstr>AGX - CO/CS Panel Update</vt:lpwstr>
  </property>
  <property fmtid="{D5CDD505-2E9C-101B-9397-08002B2CF9AE}" pid="5" name="_AuthorEmail">
    <vt:lpwstr>Stephen.Weber@cms.hhs.gov</vt:lpwstr>
  </property>
  <property fmtid="{D5CDD505-2E9C-101B-9397-08002B2CF9AE}" pid="6" name="_AuthorEmailDisplayName">
    <vt:lpwstr>Weber, Stephen (CMS/OAGM)</vt:lpwstr>
  </property>
  <property fmtid="{D5CDD505-2E9C-101B-9397-08002B2CF9AE}" pid="7" name="_ReviewingToolsShownOnce">
    <vt:lpwstr/>
  </property>
  <property fmtid="{D5CDD505-2E9C-101B-9397-08002B2CF9AE}" pid="8" name="ContentTypeId">
    <vt:lpwstr>0x01010072DFEA1BFB43CC44B467C1F0B22DCE6D</vt:lpwstr>
  </property>
  <property fmtid="{D5CDD505-2E9C-101B-9397-08002B2CF9AE}" pid="9" name="Order">
    <vt:r8>58200</vt:r8>
  </property>
  <property fmtid="{D5CDD505-2E9C-101B-9397-08002B2CF9AE}" pid="10" name="_ExtendedDescription">
    <vt:lpwstr/>
  </property>
  <property fmtid="{D5CDD505-2E9C-101B-9397-08002B2CF9AE}" pid="12" name="docLang">
    <vt:lpwstr>en</vt:lpwstr>
  </property>
</Properties>
</file>