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/>
    <w:p/>
    <w:p/>
    <w:p/>
    <w:p/>
    <w:p>
      <w:pPr>
        <w:pBdr>
          <w:bottom w:val="single" w:color="999999" w:sz="6" w:space="6"/>
        </w:pBd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[Document Title]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Process Documentation | v1.0 | [Date]</w:t>
      </w:r>
    </w:p>
    <w:p>
      <w:r>
        <w:br w:type="page"/>
      </w:r>
    </w:p>
    <w:p>
      <w:pPr>
        <w:pStyle w:val="SectionHeading"/>
      </w:pPr>
      <w:r>
        <w:t xml:space="preserve">Section Heading:</w:t>
      </w:r>
    </w:p>
    <w:p>
      <w:pPr>
        <w:pStyle w:val="BodyJustified"/>
      </w:pPr>
      <w:r>
        <w:t xml:space="preserve">Replace this paragraph with the section text. Body copy is Times New Roman 11 pt, justified, with a little space between paragraphs. Headings are the bold, underlined style above — type your text and apply the “Section Heading” style, or just overwrite this sample and keep going.</w:t>
      </w:r>
    </w:p>
    <w:p>
      <w:pPr>
        <w:pStyle w:val="BodyJustified"/>
      </w:pPr>
      <w:r>
        <w:t xml:space="preserve">A second paragraph looks like this. Keep sentences plain and specific; this template only carries the formatting.</w:t>
      </w:r>
    </w:p>
    <w:p>
      <w:pPr>
        <w:pStyle w:val="SectionHeading"/>
      </w:pPr>
      <w:r>
        <w:t xml:space="preserve">Bulleted List:</w:t>
      </w:r>
    </w:p>
    <w:p>
      <w:pPr>
        <w:pStyle w:val="BodyJustified"/>
      </w:pPr>
      <w:r>
        <w:t xml:space="preserve">Intro line before a list reads naturally, then the points follow: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First point — filled round bullet, hanging indent.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Second point, one or two lines each.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Third point.</w:t>
      </w:r>
    </w:p>
    <w:p>
      <w:pPr>
        <w:pStyle w:val="SectionHeading"/>
      </w:pPr>
      <w:r>
        <w:t xml:space="preserve">Three-Column Table: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1260"/>
        <w:gridCol w:w="6300"/>
      </w:tblGrid>
      <w:tr>
        <w:trPr>
          <w:tblHeader/>
        </w:trPr>
        <w:tc>
          <w:tcPr>
            <w:tcW w:type="dxa" w:w="1800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260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6300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How it is filled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Sample Field</w:t>
            </w:r>
          </w:p>
        </w:tc>
        <w:tc>
          <w:tcPr>
            <w:tcW w:type="dxa" w:w="12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6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What goes in this cell — shaded header row, thin grey borders, 10 pt text.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Another Field</w:t>
            </w:r>
          </w:p>
        </w:tc>
        <w:tc>
          <w:tcPr>
            <w:tcW w:type="dxa" w:w="12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6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Add rows by copying an existing one.</w:t>
            </w:r>
          </w:p>
        </w:tc>
      </w:tr>
    </w:tbl>
    <w:p>
      <w:pPr>
        <w:spacing w:after="120"/>
      </w:pPr>
    </w:p>
    <w:p>
      <w:pPr>
        <w:pStyle w:val="SectionHeading"/>
      </w:pPr>
      <w:r>
        <w:t xml:space="preserve">Two-Column Table: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Required practice</w:t>
            </w:r>
          </w:p>
        </w:tc>
        <w:tc>
          <w:tcPr>
            <w:tcW w:type="dxa" w:w="4680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 permitted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good practice, stated plainly.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thing to avoid.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Second practice.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Its counter-example.</w:t>
            </w:r>
          </w:p>
        </w:tc>
      </w:tr>
    </w:tbl>
    <w:p>
      <w:r>
        <w:br w:type="page"/>
      </w:r>
    </w:p>
    <w:p>
      <w:pPr>
        <w:pStyle w:val="SectionHeading"/>
      </w:pPr>
      <w:r>
        <w:t xml:space="preserve">Diagrams:</w:t>
      </w:r>
    </w:p>
    <w:p>
      <w:pPr>
        <w:pStyle w:val="BodyJustified"/>
      </w:pPr>
      <w:r>
        <w:t xml:space="preserve">Process flowcharts use the plain box-and-arrow style shown below — clean rectangles, a hexagon for the start, and short labels on the arrows. Insert yours as an image (Insert → Pictures), centred and sized to the text width; replace the example below with your own.</w:t>
      </w:r>
    </w:p>
    <w:p>
      <w:pPr>
        <w:spacing w:after="40" w:before="80" w:line="240" w:lineRule="auto"/>
        <w:jc w:val="center"/>
      </w:pPr>
      <w:r>
        <w:drawing>
          <wp:inline distT="0" distB="0" distL="0" distR="0">
            <wp:extent cx="40005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18"/>
          <w:szCs w:val="18"/>
        </w:rPr>
        <w:t xml:space="preserve">Example — process-flowchart style (replace with your own).</w:t>
      </w:r>
    </w:p>
    <w:p>
      <w:pPr>
        <w:pStyle w:val="BodyJustified"/>
      </w:pPr>
      <w:r>
        <w:t xml:space="preserve">When a flow spans more than one team, draw it as a swimlane instead — one lane per team, with the same clean boxes flowing left to right.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680"/>
        <w:tab w:val="right" w:pos="9360"/>
      </w:tabs>
    </w:pPr>
    <w:r>
      <w:drawing>
        <wp:inline distT="0" distB="0" distL="0" distR="0">
          <wp:extent cx="438150" cy="2381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cs="Times New Roman" w:eastAsia="Times New Roman" w:hAnsi="Times New Roman"/>
        <w:color w:val="7F7F7F"/>
        <w:sz w:val="18"/>
        <w:szCs w:val="18"/>
      </w:rPr>
      <w:t xml:space="preserve">	ACI Logistics Limited</w:t>
    </w:r>
    <w:r>
      <w:rPr>
        <w:rFonts w:ascii="Times New Roman" w:cs="Times New Roman" w:eastAsia="Times New Roman" w:hAnsi="Times New Roman"/>
        <w:color w:val="7F7F7F"/>
        <w:sz w:val="18"/>
        <w:szCs w:val="18"/>
      </w:rPr>
      <w:t xml:space="preserve">	Page | </w:t>
    </w:r>
    <w:r>
      <w:rPr>
        <w:rFonts w:ascii="Times New Roman" w:cs="Times New Roman" w:eastAsia="Times New Roman" w:hAnsi="Times New Roman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drawing>
        <wp:inline distT="0" distB="0" distL="0" distR="0">
          <wp:extent cx="438150" cy="2381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cs="Times New Roman" w:eastAsia="Times New Roman" w:hAnsi="Times New Roman"/>
        <w:color w:val="7F7F7F"/>
        <w:sz w:val="18"/>
        <w:szCs w:val="18"/>
      </w:rPr>
      <w:t xml:space="preserve">	ACI Logistics Limited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F7F7F"/>
        <w:sz w:val="18"/>
        <w:szCs w:val="18"/>
      </w:rPr>
      <w:t xml:space="preserve">Process Documentation | TechOps Support Desk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20" w:hanging="320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ectionHeading">
    <w:name w:val="Section Heading"/>
    <w:basedOn w:val="Normal"/>
    <w:next w:val="BodyJustified"/>
    <w:qFormat/>
    <w:pPr>
      <w:keepNext/>
      <w:spacing w:after="120" w:before="260"/>
    </w:pPr>
    <w:rPr>
      <w:rFonts w:ascii="Times New Roman" w:cs="Times New Roman" w:eastAsia="Times New Roman" w:hAnsi="Times New Roman"/>
      <w:b/>
      <w:bCs/>
      <w:color w:val="000000"/>
      <w:sz w:val="26"/>
      <w:szCs w:val="26"/>
      <w:u w:val="single"/>
    </w:rPr>
  </w:style>
  <w:style w:type="paragraph" w:styleId="BodyJustified">
    <w:name w:val="Body Justified"/>
    <w:basedOn w:val="Normal"/>
    <w:next w:val="BodyJustified"/>
    <w:qFormat/>
    <w:pPr>
      <w:spacing w:after="120" w:line="264" w:lineRule="auto"/>
      <w:jc w:val="both"/>
    </w:pPr>
    <w:rPr>
      <w:rFonts w:ascii="Times New Roman" w:cs="Times New Roman" w:eastAsia="Times New Roman" w:hAnsi="Times New Roman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771e7e6c47839d88db110e5a9e6300e48abc8600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90d48dda05c99b951006424587f6c148a271989.png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a90d48dda05c99b951006424587f6c148a271989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2026-09-21T11:57:13.265Z</dcterms:created>
  <dcterms:modified xsi:type="dcterms:W3CDTF">2026-09-21T11:57:13.266Z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