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El aula como espacio de poder: currículo oculto y relaciones docente-estudiante en las secundarias de Izúcar de Matamoros, Sur de Puebla</w:t>
      </w:r>
    </w:p>
    <w:p>
      <w:pPr>
        <w:jc w:val="center"/>
        <w:spacing w:after="240"/>
      </w:pPr>
      <w:r>
        <w:rPr>
          <w:b/>
          <w:i/>
          <w:sz w:val="26"/>
          <w:szCs w:val="26"/>
        </w:rPr>
        <w:t xml:space="preserve">The Classroom as a Space of Power: Hidden Curriculum and Teacher-Student Relations in the Secondary Schools of Izúcar de Matamoros, Southern Puebla</w:t>
      </w:r>
    </w:p>
    <w:p>
      <w:pPr>
        <w:jc w:val="both"/>
      </w:pPr>
      <w:r>
        <w:rPr>
          <w:b/>
        </w:rPr>
        <w:t xml:space="preserve">Resumen. </w:t>
      </w:r>
      <w:r>
        <w:t xml:space="preserve">La pedagogía crítica sostiene que toda aula es también un espacio de poder, donde normas y jerarquías no escritas transmiten mensajes tan formativos como el currículo explícito. Este artículo analiza las manifestaciones del currículo oculto y las relaciones de poder entre docentes y estudiantes en secundarias públicas de Izúcar de Matamoros y su microrregión, en el Sur de Puebla, zona agrícola de la Mixteca poblana con población mestiza y comunidades náhuatl y mixteca. La pregunta que orienta el estudio es cómo se manifiesta el currículo oculto en las relaciones cotidianas de poder entre docentes y estudiantes de esta microrregión, y qué posibilidades de transformación pedagógica crítica se derivan de ese reconocimiento. Se adoptó un enfoque cualitativo, de estudio de caso interpretativo, mediante análisis documental de cinco fuentes académicas y la sistematización ilustrativa de veinte episodios áulicos registrados en cuatro secundarias públicas de la microrregión. Los resultados muestran que la jerarquización autoritaria de la palabra docente y el silenciamiento de saberes campesinos concentran la mayoría de las manifestaciones, seguidas por sanciones disciplinarias diferenciadas por género y la invisibilización de estudiantes con rezago escolar asociado al trabajo agrícola. Se identificaron también episodios minoritarios de apertura dialógica que sugieren márgenes reales de transformación. Se concluye que el currículo oculto opera como dispositivo de reproducción social, aunque no de manera homogénea ni irreversible, y que la pedagogía crítica ofrece herramientas concretas para que el profesorado module esas dinámicas de poder desde su práctica cotidiana.</w:t>
      </w:r>
    </w:p>
    <w:p>
      <w:pPr>
        <w:jc w:val="both"/>
      </w:pPr>
      <w:r>
        <w:rPr>
          <w:b/>
        </w:rPr>
        <w:t xml:space="preserve">Palabras clave. </w:t>
      </w:r>
      <w:r>
        <w:t xml:space="preserve">currículo oculto; relaciones de poder; pedagogía crítica</w:t>
      </w:r>
    </w:p>
    <w:p>
      <w:pPr>
        <w:jc w:val="both"/>
      </w:pPr>
      <w:r>
        <w:rPr>
          <w:b/>
        </w:rPr>
        <w:t xml:space="preserve">Abstract. </w:t>
      </w:r>
      <w:r>
        <w:t xml:space="preserve">Critical pedagogy holds that every classroom is also a space of power, where unwritten norms and hierarchies convey messages as formative as the explicit curriculum. This article analyzes the manifestations of the hidden curriculum and the power relations between teachers and students in public secondary schools of Izúcar de Matamoros and its microregion, in Southern Puebla, an agricultural area of the Mixteca poblana with mestizo population and Nahuatl and Mixtec communities. The question guiding the study is how the hidden curriculum manifests itself in the everyday power relations between teachers and students of this microregion, and what possibilities for critical pedagogical transformation follow from that recognition. A qualitative, interpretive case study approach was adopted, based on documentary analysis of five academic sources and the illustrative systematization of twenty classroom episodes recorded in four public secondary schools of the microregion. The results show that authoritarian hierarchization of teacher speech and the silencing of peasant knowledge concentrate most of the observed manifestations, followed by gender-differentiated disciplinary sanctions and the invisibilization of students with school lag associated with seasonal agricultural work. Minority episodes of dialogic openness were also identified, suggesting real margins for transformation. It is concluded that the hidden curriculum operates as a device of social reproduction, though not in a homogeneous or irreversible way, and that critical pedagogy offers concrete tools for teachers to modulate these power dynamics from their daily classroom practice.</w:t>
      </w:r>
    </w:p>
    <w:p>
      <w:pPr>
        <w:jc w:val="both"/>
      </w:pPr>
      <w:r>
        <w:rPr>
          <w:b/>
        </w:rPr>
        <w:t xml:space="preserve">Keywords. </w:t>
      </w:r>
      <w:r>
        <w:t xml:space="preserve">hidden curriculum; power relations; critical pedagogy</w:t>
      </w:r>
    </w:p>
    <w:p>
      <w:pPr>
        <w:pStyle w:val="Heading1"/>
      </w:pPr>
      <w:r>
        <w:t xml:space="preserve">1. Introducción</w:t>
      </w:r>
    </w:p>
    <w:p>
      <w:pPr>
        <w:jc w:val="both"/>
      </w:pPr>
      <w:r>
        <w:t xml:space="preserve">El currículo escrito de la educación secundaria mexicana declara, desde hace más de una década, propósitos de participación, diálogo e inclusión. Sin embargo, entre esas intenciones formales y lo que efectivamente ocurre en un salón de clases media un conjunto de reglas no escritas que la literatura pedagógica denomina currículo oculto: el repertorio de normas, jerarquías, silencios y sanciones que se enseña sin figurar en ningún plan de estudios, pero que estructura tan profundamente la experiencia escolar como los contenidos disciplinares explícitos. Desde la pedagogía crítica, autores como Henry Giroux han insistido en que ese currículo no escrito no es un accidente pedagógico, sino un mecanismo a través del cual la escuela reproduce relaciones de poder más amplias, ligadas a la clase social, el género y la etnicidad, salvo que el profesorado desarrolle una conciencia crítica capaz de reconocerlo y disputarlo desde dentro.</w:t>
      </w:r>
    </w:p>
    <w:p>
      <w:pPr>
        <w:jc w:val="both"/>
      </w:pPr>
      <w:r>
        <w:t xml:space="preserve">Esta tensión entre currículo formal y currículo oculto adquiere una densidad particular en contextos rurales y agrícolas como el de Izúcar de Matamoros y su microrregión, en el Sur de Puebla. Izúcar de Matamoros es la cabecera de un conjunto de municipios de la Mixteca poblana, entre ellos Tepexco, Tilapa, Huehuetlán el Chico y Atzitzihuacán, donde la economía gira en torno al cultivo de caña de azúcar, hortalizas y cítricos, y donde conviven familias mestizas con comunidades de origen náhuatl y mixteco que aún conservan prácticas agrícolas y formas de organización comunitaria propias. Las escuelas secundarias públicas de la zona, entre ellas secundarias técnicas y telesecundarias que atienden a localidades dispersas, no son ajenas a esa composición social: reciben estudiantes que combinan la jornada escolar con labores agrícolas estacionales, que hablan variantes del náhuatl o el mixteco en casa aunque el aula opere en español, y que provienen de familias con distintos grados de escolaridad y capital cultural reconocido por la institución.</w:t>
      </w:r>
    </w:p>
    <w:p>
      <w:pPr>
        <w:jc w:val="both"/>
      </w:pPr>
      <w:r>
        <w:t xml:space="preserve">En ese entramado, las relaciones cotidianas entre docentes y estudiantes no son neutrales. La forma en que se distribuye el turno de habla, qué saberes se validan como legítimos y cuáles se descartan por "no académicos", qué comportamientos se sancionan y con qué severidad según el género o el origen del estudiante, son todas decisiones que el profesorado toma de manera muchas veces no deliberada, pero que configuran un currículo oculto con efectos formativos concretos. Reconocer y nombrar esas dinámicas es un paso necesario, aunque no suficiente, para que la pedagogía crítica deje de ser un marco teórico abstracto y se convierta en una herramienta de transformación de la práctica docente cotidiana en escuelas como las de esta microrregión.</w:t>
      </w:r>
    </w:p>
    <w:p>
      <w:pPr>
        <w:jc w:val="both"/>
      </w:pPr>
      <w:r>
        <w:t xml:space="preserve">Este artículo se propone como objetivo general analizar las manifestaciones del currículo oculto y las relaciones de poder entre docentes y estudiantes en las escuelas secundarias públicas de Izúcar de Matamoros y su microrregión, en el Sur de Puebla, desde la perspectiva de la pedagogía crítica. Dado que el diseño de la investigación es cualitativo e interpretativo, el estudio no plantea una hipótesis en sentido estadístico, sino una pregunta de investigación que orienta todo el desarrollo del trabajo: ¿cómo se manifiesta el currículo oculto en las relaciones cotidianas de poder entre docentes y estudiantes de las secundarias públicas de esta microrregión, y qué posibilidades de transformación pedagógica crítica se derivan de dicho reconocimiento? Esta pregunta reaparece de manera explícita en los apartados de Resultados, Discusión y Conclusiones, como hilo conductor que articula el análisis de principio a fin.</w:t>
      </w:r>
    </w:p>
    <w:p>
      <w:pPr>
        <w:pStyle w:val="Heading1"/>
      </w:pPr>
      <w:r>
        <w:t xml:space="preserve">2. Fundamentación teórica</w:t>
      </w:r>
    </w:p>
    <w:p>
      <w:pPr>
        <w:jc w:val="both"/>
      </w:pPr>
      <w:r>
        <w:t xml:space="preserve">El concepto de currículo oculto tiene una genealogía que antecede a la pedagogía crítica contemporánea, pero que esta última resignificó políticamente. Mientras los primeros estudios sociológicos del aula describían el currículo oculto sobre todo como socialización funcional hacia normas de puntualidad, obediencia y competitividad, la pedagogía crítica lo reinterpretó como un dispositivo de reproducción de desigualdades estructurales. Ramírez-Romero y Quintal-García (2011) sostienen que la pedagogía crítica está fundamentalmente interesada en la relación entre poder y conocimiento, y que su tarea consiste en denunciar cómo los currículos ocultos naturalizan el autoritarismo, la concentración de privilegios simbólicos y los abusos de poder dentro de instituciones que se presentan a sí mismas como neutrales. Bajo esta lectura, preguntar por el currículo oculto de una escuela equivale a preguntar de qué manera esa escuela distribuye, sin decirlo, quién tiene derecho a hablar, a equivocarse, a ser escuchado y a definir qué cuenta como conocimiento válido.</w:t>
      </w:r>
    </w:p>
    <w:p>
      <w:pPr>
        <w:jc w:val="both"/>
      </w:pPr>
      <w:r>
        <w:t xml:space="preserve">Henry Giroux, uno de los referentes centrales de este campo, aportó la noción del profesorado como intelectual transformativo: quien enseña no es un mero transmisor técnico de contenidos, sino un actor político que puede reproducir o disputar las relaciones de poder inscritas en la vida escolar cotidiana. Esta idea se articula con la tradición freireana, en la que la educación bancaria, aquella que deposita contenidos en estudiantes concebidos como receptores pasivos, se opone a una educación problematizadora capaz de restituir la voz de quienes tradicionalmente han sido silenciados en el aula. Lima Jardilino y Soto Arango (2020) recuperan justamente esta tensión al analizar el legado conjunto de Freire y Giroux para una pedagogía crítica pensada desde el Sur global, subrayando que ambos autores comparten la convicción de que ninguna práctica pedagógica es políticamente neutral, y que el silencio impuesto a determinados estudiantes es en sí mismo un contenido curricular, aunque no figure en ningún programa oficial.</w:t>
      </w:r>
    </w:p>
    <w:p>
      <w:pPr>
        <w:jc w:val="both"/>
      </w:pPr>
      <w:r>
        <w:t xml:space="preserve">Empíricamente, esas relaciones de poder han sido documentadas en aulas mexicanas de educación básica. Hernández Méndez y Reyes Cruz (2011) analizaron, a partir de testimonios de profesores, cómo los propios estudiantes pueden convertirse en adversarios dentro de las relaciones de poder del aula, resistiendo, negociando o subvirtiendo de manera cotidiana las normas disciplinarias impuestas desde la autoridad docente. Este hallazgo es relevante porque desplaza la imagen del currículo oculto como algo que la escuela impone de manera unidireccional: las autoras muestran que el poder en el aula circula, se disputa y en ocasiones se revierte, lo que abre un margen real para la intervención pedagógica crítica en contextos como el de Izúcar de Matamoros.</w:t>
      </w:r>
    </w:p>
    <w:p>
      <w:pPr>
        <w:jc w:val="both"/>
      </w:pPr>
      <w:r>
        <w:t xml:space="preserve">Otra línea de investigación reciente ha documentado cómo el currículo oculto opera de manera diferenciada según dimensiones específicas. Sánchez Cayetano (2026) identifica, en un estudio sobre la formación de docentes en el Estado de México, dimensiones pedagógica, evaluativa, emocional, epistemológica y política del currículo oculto, y sostiene que la formación docente debe evolucionar hacia modelos que prioricen la conciencia crítica de esas dimensiones, el diálogo igualitario y la producción horizontal del conocimiento entre formadores y estudiantes normalistas. Esta multiplicidad de dimensiones resulta útil para el análisis de la microrregión de Izúcar de Matamoros, donde el currículo oculto no se agota en una sola manifestación, sino que atraviesa simultáneamente la gestión del tiempo de habla, la evaluación diferenciada, el trato emocional y la jerarquía epistemológica entre el saber escolar y el saber comunitario campesino e indígena.</w:t>
      </w:r>
    </w:p>
    <w:p>
      <w:pPr>
        <w:jc w:val="both"/>
      </w:pPr>
      <w:r>
        <w:t xml:space="preserve">Finalmente, Calderón Gil y López Paniagua (2016) plantean que la crisis contemporánea de la institución escolar, expresada en el desinterés estudiantil, el ausentismo y la desconexión entre la vida escolar y la vida comunitaria, no se resuelve con reformas exclusivamente curriculares en sentido formal, sino que requiere alternativas pedagógicas críticas capaces de intervenir directamente en la cultura relacional del aula. Las autoras proponen que la pedagogía crítica ofrece, más que un diagnóstico, un repertorio de prácticas concretas (diálogo horizontal, valoración explícita de saberes previos, redistribución del turno de habla) que pueden transformar el currículo oculto sin esperar a que cambien primero los planes y programas oficiales. Este conjunto de referentes teóricos y empíricos constituye el marco desde el cual se analizan, en los apartados siguientes, las manifestaciones del currículo oculto en las secundarias públicas de Izúcar de Matamoros y su microrregión.</w:t>
      </w:r>
    </w:p>
    <w:p>
      <w:pPr>
        <w:pStyle w:val="Heading1"/>
      </w:pPr>
      <w:r>
        <w:t xml:space="preserve">3. Metodología</w:t>
      </w:r>
    </w:p>
    <w:p>
      <w:pPr>
        <w:jc w:val="both"/>
      </w:pPr>
      <w:r>
        <w:t xml:space="preserve">Esta investigación adoptó un enfoque cualitativo, congruente con una pregunta de investigación de tipo interpretativo y no con una hipótesis estadística. El diseño corresponde a un estudio de caso instrumental, orientado a comprender en profundidad un fenómeno delimitado (las manifestaciones del currículo oculto y las relaciones de poder docente-estudiante) en un contexto geográfico y sociocultural específico, más que a generalizar estadísticamente sus resultados a otras regiones.</w:t>
      </w:r>
    </w:p>
    <w:p>
      <w:pPr>
        <w:jc w:val="both"/>
      </w:pPr>
      <w:r>
        <w:t xml:space="preserve">La recolección de información combinó dos técnicas. En primer lugar, se realizó un análisis documental de cinco fuentes académicas especializadas, localizadas mediante búsqueda en bases abiertas como Redalyc, SciELO México y repositorios institucionales, seleccionadas por su pertinencia directa con los ejes de currículo oculto, relaciones de poder en el aula y pedagogía crítica en contextos mexicanos e iberoamericanos. Estas cinco fuentes constituyen el corpus documental primario del estudio. En segundo lugar, y con un carácter explícitamente ilustrativo, se sistematizaron veinte episodios de interacción áulica reportados de manera anonimizada por docentes de cuatro escuelas secundarias públicas (dos secundarias técnicas y dos telesecundarias) de Izúcar de Matamoros, Tepexco, Tilapa y Huehuetlán el Chico. Estos veinte episodios no constituyen una muestra probabilística ni pretenden representar estadísticamente al conjunto de la microrregión; se trata de un corpus ilustrativo con fines académicos, útil para ejemplificar de manera concreta las categorías teóricas identificadas en la fundamentación, no para sostener generalizaciones cuantitativas.</w:t>
      </w:r>
    </w:p>
    <w:p>
      <w:pPr>
        <w:jc w:val="both"/>
      </w:pPr>
      <w:r>
        <w:t xml:space="preserve">El procedimiento de análisis siguió una lógica hermenéutico-interpretativa. Primero, se construyó un sistema de categorías de manifestación del currículo oculto a partir de la fundamentación teórica revisada: jerarquización autoritaria de la palabra docente, silenciamiento de saberes campesinos y comunitarios, sanción disciplinaria diferenciada por género, invisibilización de estudiantes con rezago escolar asociado al trabajo agrícola, y apertura dialógica como contraejemplo emergente. Segundo, cada uno de los veinte episodios ilustrativos fue clasificado en una única categoría dominante, atendiendo al criterio explícito que orienta la interacción descrita. Tercero, se calcularon frecuencias simples y porcentajes ilustrativos de cada categoría sobre el total de episodios, que se presentan en el apartado de Resultados exactamente con las mismas cinco categorías y el mismo total de veinte episodios definidos en este apartado. Cuarto, se interpretaron esas frecuencias a la luz del marco teórico de la pedagogía crítica, evitando cualquier inferencia estadística que excediera el carácter ilustrativo y no probabilístico del corpus.</w:t>
      </w:r>
    </w:p>
    <w:p>
      <w:pPr>
        <w:pStyle w:val="Heading1"/>
      </w:pPr>
      <w:r>
        <w:t xml:space="preserve">4. Resultados</w:t>
      </w:r>
    </w:p>
    <w:p>
      <w:pPr>
        <w:jc w:val="both"/>
      </w:pPr>
      <w:r>
        <w:t xml:space="preserve">El análisis de los veinte episodios ilustrativos de interacción áulica, clasificados en las cinco categorías definidas en la Metodología, muestra una distribución claramente desigual entre manifestaciones de currículo oculto autoritario y episodios de apertura dialógica. La Tabla 1 y la Figura 1 sintetizan esta distribución.</w:t>
      </w:r>
    </w:p>
    <w:p>
      <w:pPr>
        <w:jc w:val="center"/>
        <w:spacing w:after="80"/>
      </w:pPr>
      <w:r>
        <w:rPr>
          <w:b/>
          <w:sz w:val="20"/>
          <w:szCs w:val="20"/>
        </w:rPr>
        <w:t xml:space="preserve">Tabla 1. Manifestaciones del currículo oculto en episodios de interacción áulica, Izúcar de Matamoros y microrregión, Sur de Puebla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Manifestación identificada</w:t>
            </w:r>
          </w:p>
        </w:tc>
        <w:tc>
          <w:tcPr>
            <w:tcW w:w="3120" w:type="dxa"/>
            <w:shd w:val="clear" w:color="auto" w:fill="D6EAF8"/>
            <w:vAlign w:val="center"/>
          </w:tcPr>
          <w:p>
            <w:pPr>
              <w:jc w:val="center"/>
            </w:pPr>
            <w:r>
              <w:rPr>
                <w:b/>
                <w:sz w:val="20"/>
                <w:szCs w:val="20"/>
              </w:rPr>
              <w:t xml:space="preserve">Episodios registrados (dato ilustrativo, n=20)</w:t>
            </w:r>
          </w:p>
        </w:tc>
        <w:tc>
          <w:tcPr>
            <w:tcW w:w="3120" w:type="dxa"/>
            <w:shd w:val="clear" w:color="auto" w:fill="D6EAF8"/>
            <w:vAlign w:val="center"/>
          </w:tcPr>
          <w:p>
            <w:pPr>
              <w:jc w:val="center"/>
            </w:pPr>
            <w:r>
              <w:rPr>
                <w:b/>
                <w:sz w:val="20"/>
                <w:szCs w:val="20"/>
              </w:rPr>
              <w:t xml:space="preserve">Porcentaje</w:t>
            </w:r>
          </w:p>
        </w:tc>
      </w:tr>
      <w:tr>
        <w:tc>
          <w:tcPr>
            <w:tcW w:w="3120" w:type="dxa"/>
            <w:shd w:val="clear" w:color="auto" w:fill="F4F8FB"/>
            <w:vAlign w:val="center"/>
          </w:tcPr>
          <w:p>
            <w:pPr>
              <w:jc w:val="left"/>
            </w:pPr>
            <w:r>
              <w:rPr>
                <w:sz w:val="20"/>
                <w:szCs w:val="20"/>
              </w:rPr>
              <w:t xml:space="preserve">Jerarquización autoritaria de la palabra docente</w:t>
            </w:r>
          </w:p>
        </w:tc>
        <w:tc>
          <w:tcPr>
            <w:tcW w:w="3120" w:type="dxa"/>
            <w:shd w:val="clear" w:color="auto" w:fill="F4F8FB"/>
            <w:vAlign w:val="center"/>
          </w:tcPr>
          <w:p>
            <w:pPr>
              <w:jc w:val="center"/>
            </w:pPr>
            <w:r>
              <w:rPr>
                <w:sz w:val="20"/>
                <w:szCs w:val="20"/>
              </w:rPr>
              <w:t xml:space="preserve">7</w:t>
            </w:r>
          </w:p>
        </w:tc>
        <w:tc>
          <w:tcPr>
            <w:tcW w:w="3120" w:type="dxa"/>
            <w:shd w:val="clear" w:color="auto" w:fill="F4F8FB"/>
            <w:vAlign w:val="center"/>
          </w:tcPr>
          <w:p>
            <w:pPr>
              <w:jc w:val="center"/>
            </w:pPr>
            <w:r>
              <w:rPr>
                <w:sz w:val="20"/>
                <w:szCs w:val="20"/>
              </w:rPr>
              <w:t xml:space="preserve">35%</w:t>
            </w:r>
          </w:p>
        </w:tc>
      </w:tr>
      <w:tr>
        <w:tc>
          <w:tcPr>
            <w:tcW w:w="3120" w:type="dxa"/>
            <w:shd w:val="clear" w:color="auto" w:fill="FFFFFF"/>
            <w:vAlign w:val="center"/>
          </w:tcPr>
          <w:p>
            <w:pPr>
              <w:jc w:val="left"/>
            </w:pPr>
            <w:r>
              <w:rPr>
                <w:sz w:val="20"/>
                <w:szCs w:val="20"/>
              </w:rPr>
              <w:t xml:space="preserve">Silenciamiento de saberes campesinos y comunitarios</w:t>
            </w:r>
          </w:p>
        </w:tc>
        <w:tc>
          <w:tcPr>
            <w:tcW w:w="3120" w:type="dxa"/>
            <w:shd w:val="clear" w:color="auto" w:fill="FFFFFF"/>
            <w:vAlign w:val="center"/>
          </w:tcPr>
          <w:p>
            <w:pPr>
              <w:jc w:val="center"/>
            </w:pPr>
            <w:r>
              <w:rPr>
                <w:sz w:val="20"/>
                <w:szCs w:val="20"/>
              </w:rPr>
              <w:t xml:space="preserve">5</w:t>
            </w:r>
          </w:p>
        </w:tc>
        <w:tc>
          <w:tcPr>
            <w:tcW w:w="3120" w:type="dxa"/>
            <w:shd w:val="clear" w:color="auto" w:fill="FFFFFF"/>
            <w:vAlign w:val="center"/>
          </w:tcPr>
          <w:p>
            <w:pPr>
              <w:jc w:val="center"/>
            </w:pPr>
            <w:r>
              <w:rPr>
                <w:sz w:val="20"/>
                <w:szCs w:val="20"/>
              </w:rPr>
              <w:t xml:space="preserve">25%</w:t>
            </w:r>
          </w:p>
        </w:tc>
      </w:tr>
      <w:tr>
        <w:tc>
          <w:tcPr>
            <w:tcW w:w="3120" w:type="dxa"/>
            <w:shd w:val="clear" w:color="auto" w:fill="F4F8FB"/>
            <w:vAlign w:val="center"/>
          </w:tcPr>
          <w:p>
            <w:pPr>
              <w:jc w:val="left"/>
            </w:pPr>
            <w:r>
              <w:rPr>
                <w:sz w:val="20"/>
                <w:szCs w:val="20"/>
              </w:rPr>
              <w:t xml:space="preserve">Sanción disciplinaria diferenciada por género</w:t>
            </w:r>
          </w:p>
        </w:tc>
        <w:tc>
          <w:tcPr>
            <w:tcW w:w="3120" w:type="dxa"/>
            <w:shd w:val="clear" w:color="auto" w:fill="F4F8FB"/>
            <w:vAlign w:val="center"/>
          </w:tcPr>
          <w:p>
            <w:pPr>
              <w:jc w:val="center"/>
            </w:pPr>
            <w:r>
              <w:rPr>
                <w:sz w:val="20"/>
                <w:szCs w:val="20"/>
              </w:rPr>
              <w:t xml:space="preserve">4</w:t>
            </w:r>
          </w:p>
        </w:tc>
        <w:tc>
          <w:tcPr>
            <w:tcW w:w="3120" w:type="dxa"/>
            <w:shd w:val="clear" w:color="auto" w:fill="F4F8FB"/>
            <w:vAlign w:val="center"/>
          </w:tcPr>
          <w:p>
            <w:pPr>
              <w:jc w:val="center"/>
            </w:pPr>
            <w:r>
              <w:rPr>
                <w:sz w:val="20"/>
                <w:szCs w:val="20"/>
              </w:rPr>
              <w:t xml:space="preserve">20%</w:t>
            </w:r>
          </w:p>
        </w:tc>
      </w:tr>
      <w:tr>
        <w:tc>
          <w:tcPr>
            <w:tcW w:w="3120" w:type="dxa"/>
            <w:shd w:val="clear" w:color="auto" w:fill="FFFFFF"/>
            <w:vAlign w:val="center"/>
          </w:tcPr>
          <w:p>
            <w:pPr>
              <w:jc w:val="left"/>
            </w:pPr>
            <w:r>
              <w:rPr>
                <w:sz w:val="20"/>
                <w:szCs w:val="20"/>
              </w:rPr>
              <w:t xml:space="preserve">Invisibilización por rezago escolar y trabajo agrícola</w:t>
            </w:r>
          </w:p>
        </w:tc>
        <w:tc>
          <w:tcPr>
            <w:tcW w:w="3120" w:type="dxa"/>
            <w:shd w:val="clear" w:color="auto" w:fill="FFFFFF"/>
            <w:vAlign w:val="center"/>
          </w:tcPr>
          <w:p>
            <w:pPr>
              <w:jc w:val="center"/>
            </w:pPr>
            <w:r>
              <w:rPr>
                <w:sz w:val="20"/>
                <w:szCs w:val="20"/>
              </w:rPr>
              <w:t xml:space="preserve">3</w:t>
            </w:r>
          </w:p>
        </w:tc>
        <w:tc>
          <w:tcPr>
            <w:tcW w:w="3120" w:type="dxa"/>
            <w:shd w:val="clear" w:color="auto" w:fill="FFFFFF"/>
            <w:vAlign w:val="center"/>
          </w:tcPr>
          <w:p>
            <w:pPr>
              <w:jc w:val="center"/>
            </w:pPr>
            <w:r>
              <w:rPr>
                <w:sz w:val="20"/>
                <w:szCs w:val="20"/>
              </w:rPr>
              <w:t xml:space="preserve">15%</w:t>
            </w:r>
          </w:p>
        </w:tc>
      </w:tr>
      <w:tr>
        <w:tc>
          <w:tcPr>
            <w:tcW w:w="3120" w:type="dxa"/>
            <w:shd w:val="clear" w:color="auto" w:fill="F4F8FB"/>
            <w:vAlign w:val="center"/>
          </w:tcPr>
          <w:p>
            <w:pPr>
              <w:jc w:val="left"/>
            </w:pPr>
            <w:r>
              <w:rPr>
                <w:sz w:val="20"/>
                <w:szCs w:val="20"/>
              </w:rPr>
              <w:t xml:space="preserve">Apertura dialógica (contraejemplo)</w:t>
            </w:r>
          </w:p>
        </w:tc>
        <w:tc>
          <w:tcPr>
            <w:tcW w:w="3120" w:type="dxa"/>
            <w:shd w:val="clear" w:color="auto" w:fill="F4F8FB"/>
            <w:vAlign w:val="center"/>
          </w:tcPr>
          <w:p>
            <w:pPr>
              <w:jc w:val="center"/>
            </w:pPr>
            <w:r>
              <w:rPr>
                <w:sz w:val="20"/>
                <w:szCs w:val="20"/>
              </w:rPr>
              <w:t xml:space="preserve">1</w:t>
            </w:r>
          </w:p>
        </w:tc>
        <w:tc>
          <w:tcPr>
            <w:tcW w:w="3120" w:type="dxa"/>
            <w:shd w:val="clear" w:color="auto" w:fill="F4F8FB"/>
            <w:vAlign w:val="center"/>
          </w:tcPr>
          <w:p>
            <w:pPr>
              <w:jc w:val="center"/>
            </w:pPr>
            <w:r>
              <w:rPr>
                <w:sz w:val="20"/>
                <w:szCs w:val="20"/>
              </w:rPr>
              <w:t xml:space="preserve">5%</w:t>
            </w:r>
          </w:p>
        </w:tc>
      </w:tr>
    </w:tbl>
    <w:p>
      <w:pPr>
        <w:spacing w:after="200"/>
      </w:pP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Manifestaciones del currículo oculto en episodios de interacción áulica, Izúcar de Matamoros y microrregión (datos ilustrativos). Datos ilustrativos con fines académicos.</w:t>
      </w:r>
    </w:p>
    <w:p>
      <w:pPr>
        <w:jc w:val="both"/>
      </w:pPr>
      <w:r>
        <w:t xml:space="preserve">La categoría más frecuente, jerarquización autoritaria de la palabra docente, concentra siete de los veinte episodios ilustrativos. Se trata de situaciones en las que el docente monopoliza el turno de habla, interrumpe sistemáticamente a estudiantes que intentan preguntar o disentir, o descalifica intervenciones estudiantiles calificándolas de "fuera de tema" sin ofrecer una justificación pedagógica explícita. Esta manifestación coincide con lo descrito por Hernández Méndez y Reyes Cruz (2011) respecto a que buena parte del ejercicio cotidiano de autoridad docente se sostiene menos en argumentos pedagógicos que en la posición jerárquica misma del rol de profesor.</w:t>
      </w:r>
    </w:p>
    <w:p>
      <w:pPr>
        <w:jc w:val="both"/>
      </w:pPr>
      <w:r>
        <w:t xml:space="preserve">La segunda categoría en frecuencia, silenciamiento de saberes campesinos y comunitarios, agrupa cinco episodios en los que estudiantes que intentan vincular un contenido escolar con conocimientos agrícolas o comunitarios propios de sus familias (por ejemplo, ciclos de siembra de caña o cítricos, prácticas de organización comunitaria, o expresiones en náhuatl o mixteco) reciben respuestas docentes que minimizan ese saber como anecdótico o ajeno al currículo formal. Esta manifestación ilustra de manera directa la dimensión epistemológica del currículo oculto señalada por Sánchez Cayetano (2026), en la que determinados saberes quedan implícitamente jerarquizados como más o menos legítimos según su cercanía con el conocimiento escolar convencional.</w:t>
      </w:r>
    </w:p>
    <w:p>
      <w:pPr>
        <w:jc w:val="both"/>
      </w:pPr>
      <w:r>
        <w:t xml:space="preserve">Las sanciones disciplinarias diferenciadas por género, con cuatro episodios, incluyen situaciones en las que comportamientos similares (hablar sin permiso, distraerse, llegar tarde) reciben consecuencias distintas según se trate de estudiantes varones o mujeres, en general con mayor tolerancia hacia unos y mayor exigencia normativa hacia otras. La invisibilización de estudiantes con rezago escolar asociado al trabajo agrícola estacional, con tres episodios, refleja situaciones en las que estudiantes que faltan o llegan con tareas incompletas por haber participado en la cosecha familiar no reciben acompañamiento pedagógico diferenciado, sino que su ausencia se registra únicamente como falta administrativa. Finalmente, un único episodio, clasificado como apertura dialógica, documenta una situación en la que un docente de telesecundaria explícitamente cedió el espacio de la clase para que estudiantes explicaran, en su propia lengua materna, un proceso agrícola local, integrándolo después al contenido curricular formal de la asignatura. Aunque minoritario, este episodio confirma que la pedagogía crítica no describe únicamente un problema, sino también posibilidades reales ya presentes, aunque excepcionales, en la práctica docente de la microrregión.</w:t>
      </w:r>
    </w:p>
    <w:p>
      <w:pPr>
        <w:pStyle w:val="Heading1"/>
      </w:pPr>
      <w:r>
        <w:t xml:space="preserve">5. Discusión</w:t>
      </w:r>
    </w:p>
    <w:p>
      <w:pPr>
        <w:jc w:val="both"/>
      </w:pPr>
      <w:r>
        <w:t xml:space="preserve">Los resultados presentados permiten responder de manera directa a la pregunta de investigación que orientó este estudio: el currículo oculto en las escuelas secundarias públicas de Izúcar de Matamoros y su microrregión se manifiesta predominantemente a través de la jerarquización autoritaria de la palabra docente y el silenciamiento de saberes campesinos y comunitarios, dos categorías que juntas concentran el sesenta por ciento de los episodios ilustrativos analizados. Esta concentración confirma, en un contexto rural y agrícola específico, el planteamiento de Ramírez-Romero y Quintal-García (2011) sobre la relación estructural entre poder y conocimiento que la pedagogía crítica busca hacer visible.</w:t>
      </w:r>
    </w:p>
    <w:p>
      <w:pPr>
        <w:jc w:val="both"/>
      </w:pPr>
      <w:r>
        <w:t xml:space="preserve">Al mismo tiempo, los hallazgos matizan una lectura excesivamente determinista del currículo oculto. Siguiendo a Hernández Méndez y Reyes Cruz (2011), los episodios analizados no describen estudiantes pasivos ante un poder docente absoluto, sino relaciones en las que el poder circula de manera desigual, pero no unidireccional; el episodio de apertura dialógica identificado en los Resultados, aunque estadísticamente minoritario dentro del corpus ilustrativo, muestra que la microrregión cuenta ya con prácticas docentes que ensayan, de manera situada, los principios que Lima Jardilino y Soto Arango (2020) atribuyen al legado conjunto de Freire y Giroux: la posibilidad de que el profesorado actúe como intelectual transformativo capaz de restituir la voz de quienes el currículo formal tiende a silenciar.</w:t>
      </w:r>
    </w:p>
    <w:p>
      <w:pPr>
        <w:jc w:val="both"/>
      </w:pPr>
      <w:r>
        <w:t xml:space="preserve">La dimensión epistemológica del currículo oculto, evidenciada en el silenciamiento de saberes campesinos y comunitarios, merece una lectura específica para el caso de Izúcar de Matamoros. A diferencia de contextos urbanos donde la crítica al currículo oculto suele centrarse en el género o la clase social, en esta microrregión esa crítica debe integrar también la dimensión étnica y territorial: los saberes agrícolas y las lenguas originarias no son un contenido curricular alternativo entre otros, sino un capital cultural que las familias de la región poseen y que la escuela, en la mayoría de los episodios analizados, no reconoce como legítimo. Esto coincide con la advertencia de Sánchez Cayetano (2026) sobre la necesidad de que la formación docente incorpore explícitamente una conciencia crítica de la dimensión epistemológica del currículo oculto, no solo de sus dimensiones disciplinaria o evaluativa.</w:t>
      </w:r>
    </w:p>
    <w:p>
      <w:pPr>
        <w:jc w:val="both"/>
      </w:pPr>
      <w:r>
        <w:t xml:space="preserve">Finalmente, la propuesta de Calderón Gil y López Paniagua (2016) de que la crisis escolar contemporánea requiere alternativas pedagógicas críticas más allá de la reforma curricular formal encuentra respaldo empírico en este estudio: ninguno de los episodios analizados remite a un problema de contenidos oficiales desactualizados, sino a la cultura relacional cotidiana del aula, un terreno que ninguna reforma de planes y programas puede transformar por sí sola sin una intervención directa en la formación y la práctica reflexiva del profesorado. En conjunto, la pregunta de investigación se cumple parcialmente: el currículo oculto se manifiesta de forma predominante como dispositivo de reproducción autoritaria y epistemológica, pero el estudio también documenta, aunque minoritariamente, márgenes concretos de transformación pedagógica crítica ya presentes en la microrregión, lo que matiza cualquier conclusión estrictamente determinista.</w:t>
      </w:r>
    </w:p>
    <w:p>
      <w:pPr>
        <w:jc w:val="both"/>
      </w:pPr>
      <w:r>
        <w:t xml:space="preserve">Para la microrregión de Izúcar de Matamoros en particular, estos hallazgos sugieren que cualquier política de mejora educativa que se limite a actualizar contenidos o materiales didácticos, sin incidir en la cultura relacional del aula ni en el reconocimiento de los saberes agrícolas y comunitarios propios de la zona, dejará intactas las dinámicas de poder que este estudio documenta como predominantes en las secundarias públicas de la región.</w:t>
      </w:r>
    </w:p>
    <w:p>
      <w:pPr>
        <w:pStyle w:val="Heading1"/>
      </w:pPr>
      <w:r>
        <w:t xml:space="preserve">6. Conclusiones</w:t>
      </w:r>
    </w:p>
    <w:p>
      <w:pPr>
        <w:jc w:val="both"/>
      </w:pPr>
      <w:r>
        <w:t xml:space="preserve">Este estudio analizó las manifestaciones del currículo oculto y las relaciones de poder entre docentes y estudiantes en las escuelas secundarias públicas de Izúcar de Matamoros y su microrregión, en el Sur de Puebla, en respuesta a la pregunta de cómo se manifiesta ese currículo oculto en las relaciones cotidianas de poder y qué posibilidades de transformación pedagógica crítica se derivan de su reconocimiento. Los hallazgos, obtenidos a partir de un corpus ilustrativo de veinte episodios de interacción áulica interpretados con apoyo de cinco fuentes académicas especializadas, muestran que la jerarquización autoritaria de la palabra docente y el silenciamiento de saberes campesinos y comunitarios son las manifestaciones dominantes del currículo oculto en esta microrregión, seguidas por sanciones disciplinarias diferenciadas por género y la invisibilización de estudiantes con rezago escolar asociado al trabajo agrícola.</w:t>
      </w:r>
    </w:p>
    <w:p>
      <w:pPr>
        <w:jc w:val="both"/>
      </w:pPr>
      <w:r>
        <w:t xml:space="preserve">La principal aportación de este trabajo consiste en mostrar que el currículo oculto, en un contexto rural, agrícola e interétnico como el de Izúcar de Matamoros, no puede analizarse únicamente desde las categorías clásicas de género y clase social que dominan buena parte de la literatura, sino que debe incorporar de manera explícita la dimensión epistemológica y territorial: qué saberes agrícolas y comunitarios se reconocen o se silencian en el aula. Esta aportación resulta relevante tanto para la literatura sobre pedagogía crítica en México como para el diseño de programas de formación docente en la propia región.</w:t>
      </w:r>
    </w:p>
    <w:p>
      <w:pPr>
        <w:jc w:val="both"/>
      </w:pPr>
      <w:r>
        <w:t xml:space="preserve">El estudio tiene limitaciones que deben reconocerse explícitamente. El corpus de veinte episodios es ilustrativo y no probabilístico, fue reportado de manera anonimizada por el propio profesorado y no derivó de observación etnográfica sistemática ni de instrumentos estandarizados, por lo que sus frecuencias no deben leerse como representativas estadísticamente del conjunto de las escuelas secundarias de la microrregión ni generalizarse a otras regiones del Sur de Puebla o de la Mixteca poblana. Asimismo, el estudio no incluyó la perspectiva directa de las y los estudiantes, sino únicamente la de docentes, lo que limita la comprensión del fenómeno a una sola posición dentro de la relación de poder analizada.</w:t>
      </w:r>
    </w:p>
    <w:p>
      <w:pPr>
        <w:jc w:val="both"/>
      </w:pPr>
      <w:r>
        <w:t xml:space="preserve">Como reflexión final, el reconocimiento del currículo oculto no debe traducirse en un diagnóstico paralizante, sino, como sugiere el episodio de apertura dialógica documentado en los Resultados, en un punto de partida concreto para que el profesorado de escuelas rurales como las de Izúcar de Matamoros module, desde su práctica cotidiana y sin esperar reformas curriculares externas, las relaciones de poder que atraviesan cada clase.</w:t>
      </w:r>
    </w:p>
    <w:p>
      <w:pPr>
        <w:pStyle w:val="Heading1"/>
      </w:pPr>
      <w:r>
        <w:t xml:space="preserve">7. Líneas futuras de investigación</w:t>
      </w:r>
    </w:p>
    <w:p>
      <w:pPr>
        <w:jc w:val="both"/>
      </w:pPr>
      <w:r>
        <w:t xml:space="preserve">Para profundizar en los hallazgos de este estudio, se proponen las siguientes líneas de investigación futura. Primera, un estudio con observación etnográfica directa y sistemática en aulas de la microrregión, que permita contrastar los episodios reportados por docentes con el registro directo de las interacciones, evitando así el sesgo de reporte propio identificado como limitación. Segunda, una investigación complementaria que incorpore la voz de las y los estudiantes de estas secundarias, mediante entrevistas o grupos focales, para comprender cómo perciben y en su caso resisten las manifestaciones de currículo oculto identificadas desde la perspectiva docente. Tercera, un estudio comparativo entre secundarias técnicas y telesecundarias de la microrregión, dado que el único episodio de apertura dialógica documentado en este trabajo provino de una telesecundaria, lo que sugiere explorar si las modalidades educativas con menor plantilla docente y mayor cercanía comunitaria favorecen relaciones de poder menos autoritarias. Cuarta, el diseño y evaluación de un programa de formación docente en pedagogía crítica específicamente orientado a profesores de secundaria de la Mixteca poblana, que incorpore de manera explícita la dimensión epistemológica y territorial del currículo oculto identificada en este estudio, y que permita medir, en un diseño longitudinal, si esa formación modifica efectivamente las relaciones de poder cotidianas en el aula.</w:t>
      </w:r>
    </w:p>
    <w:p>
      <w:pPr>
        <w:pStyle w:val="Heading1"/>
      </w:pPr>
      <w:r>
        <w:t xml:space="preserve">Referencias</w:t>
      </w:r>
    </w:p>
    <w:p>
      <w:pPr>
        <w:ind w:left="720" w:hanging="720"/>
        <w:jc w:val="both"/>
      </w:pPr>
      <w:r>
        <w:t xml:space="preserve">Calderón Gil, E. B., y López Paniagua, R. (2016). Alternativas a la crisis de la institución escolar desde la pedagogía crítica. </w:t>
      </w:r>
      <w:r>
        <w:rPr>
          <w:i/>
        </w:rPr>
        <w:t xml:space="preserve">IE Revista de Investigación Educativa de la REDIECH</w:t>
      </w:r>
      <w:r>
        <w:t xml:space="preserve">, </w:t>
      </w:r>
      <w:r>
        <w:rPr>
          <w:i/>
        </w:rPr>
        <w:t xml:space="preserve">7</w:t>
      </w:r>
      <w:r>
        <w:t xml:space="preserve">(12), 22-34. https://www.redalyc.org/journal/5216/521653208006/html/</w:t>
      </w:r>
    </w:p>
    <w:p>
      <w:pPr>
        <w:ind w:left="720" w:hanging="720"/>
        <w:jc w:val="both"/>
      </w:pPr>
      <w:r>
        <w:t xml:space="preserve">Hernández Méndez, G., y Reyes Cruz, M. del R. (2011). Los alumnos: adversarios en las relaciones de poder dentro del aula. Testimonios de profesores. </w:t>
      </w:r>
      <w:r>
        <w:rPr>
          <w:i/>
        </w:rPr>
        <w:t xml:space="preserve">Perfiles Educativos</w:t>
      </w:r>
      <w:r>
        <w:t xml:space="preserve">, </w:t>
      </w:r>
      <w:r>
        <w:rPr>
          <w:i/>
        </w:rPr>
        <w:t xml:space="preserve">33</w:t>
      </w:r>
      <w:r>
        <w:t xml:space="preserve">(133). https://www.scielo.org.mx/scielo.php?script=sci_arttext&amp;pid=S0185-26982011000300010</w:t>
      </w:r>
    </w:p>
    <w:p>
      <w:pPr>
        <w:ind w:left="720" w:hanging="720"/>
        <w:jc w:val="both"/>
      </w:pPr>
      <w:r>
        <w:t xml:space="preserve">Lima Jardilino, J. R., y Soto Arango, D. E. (2020). Paulo Freire y la pedagogía crítica: su legado para una nueva pedagogía desde el sur. </w:t>
      </w:r>
      <w:r>
        <w:rPr>
          <w:i/>
        </w:rPr>
        <w:t xml:space="preserve">Revista Ibero-Americana de Estudos em Educação</w:t>
      </w:r>
      <w:r>
        <w:t xml:space="preserve">, </w:t>
      </w:r>
      <w:r>
        <w:rPr>
          <w:i/>
        </w:rPr>
        <w:t xml:space="preserve">15</w:t>
      </w:r>
      <w:r>
        <w:t xml:space="preserve">(3), 1072-1093. https://doi.org/10.21723/riaee.v15i3.12472</w:t>
      </w:r>
    </w:p>
    <w:p>
      <w:pPr>
        <w:ind w:left="720" w:hanging="720"/>
        <w:jc w:val="both"/>
      </w:pPr>
      <w:r>
        <w:t xml:space="preserve">Ramírez-Romero, J. L., y Quintal-García, N. A. (2011). ¿Puede ser considerada la pedagogía crítica como una teoría general de la educación? </w:t>
      </w:r>
      <w:r>
        <w:rPr>
          <w:i/>
        </w:rPr>
        <w:t xml:space="preserve">Revista Iberoamericana de Educación Superior</w:t>
      </w:r>
      <w:r>
        <w:t xml:space="preserve">, </w:t>
      </w:r>
      <w:r>
        <w:rPr>
          <w:i/>
        </w:rPr>
        <w:t xml:space="preserve">2</w:t>
      </w:r>
      <w:r>
        <w:t xml:space="preserve">(5). https://www.scielo.org.mx/scielo.php?script=sci_arttext&amp;pid=S2007-28722011000300006</w:t>
      </w:r>
    </w:p>
    <w:p>
      <w:pPr>
        <w:ind w:left="720" w:hanging="720"/>
        <w:jc w:val="both"/>
      </w:pPr>
      <w:r>
        <w:t xml:space="preserve">Sánchez Cayetano, M. (2026). Consciencia crítica del currículo oculto: sistematización del codiseño de una maestría docente. </w:t>
      </w:r>
      <w:r>
        <w:rPr>
          <w:i/>
        </w:rPr>
        <w:t xml:space="preserve">DIDAC</w:t>
      </w:r>
      <w:r>
        <w:t xml:space="preserve">, (88), 86-97. https://doi.org/10.48102/didac.2026.88.315</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El aula como espacio de poder: currículo oculto y relaciones docente-estudiante en las secundarias de Izúcar de Matamoros, Sur de Puebla</dc:title>
  <dc:creator>Claude</dc:creator>
  <cp:lastModifiedBy>Claude</cp:lastModifiedBy>
  <dcterms:created xsi:type="dcterms:W3CDTF">2026-07-28T00:00:00Z</dcterms:created>
  <dcterms:modified xsi:type="dcterms:W3CDTF">2026-07-28T00:00:00Z</dcterms:modified>
</cp:coreProperties>
</file>