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Inseguridad alimentaria y trayectoria escolar: la desnutrición infantil como determinante silencioso en primarias del Noreste de Veracruz</w:t>
      </w:r>
    </w:p>
    <w:p>
      <w:pPr>
        <w:jc w:val="center"/>
        <w:spacing w:after="240"/>
      </w:pPr>
      <w:r>
        <w:rPr>
          <w:b/>
          <w:i/>
          <w:sz w:val="26"/>
          <w:szCs w:val="26"/>
        </w:rPr>
        <w:t xml:space="preserve">Food Insecurity and School Trajectories: Child Malnutrition as a Silent Determinant in Primary Schools of Northeastern Veracruz</w:t>
      </w:r>
    </w:p>
    <w:p>
      <w:pPr>
        <w:jc w:val="both"/>
      </w:pPr>
      <w:r>
        <w:rPr>
          <w:b/>
        </w:rPr>
        <w:t xml:space="preserve">Resumen. </w:t>
      </w:r>
      <w:r>
        <w:t xml:space="preserve">Este artículo analiza la relación entre inseguridad alimentaria infantil y desempeño escolar en primarias públicas del Noreste de Veracruz, subregión donde la carencia por acceso a la alimentación se combina con dispersión poblacional, economía agropecuaria informal y baja cobertura de programas de asistencia nutricional. A diferencia de estudios previos sobre esta región que han abordado la vulnerabilidad educativa desde el riesgo hidrometeorológico, el trabajo infantil o la movilidad familiar, este artículo se centra específicamente en el vínculo entre estado nutricional, asistencia a desayunos escolares y rendimiento académico. Se adopta un enfoque mixto con predominio cualitativo, que combina entrevistas semiestructuradas y observación en aula con un registro documental de calificaciones e indicadores antropométricos escolares. El estudio toma como referencia empírica un corpus de 30 estudiantes de tercero a sexto de primaria en tres escuelas de los municipios de Pánuco, Pueblo Viejo y Naranjos-Amatlán, cuyos datos se presentan como ilustrativos con fines académicos. Los hallazgos sugieren que la irregularidad en el consumo de alimentos durante la jornada escolar se asocia con menor sostenimiento de la atención en las últimas horas de clase, mayor ausentismo intermitente y calificaciones más bajas en lectura y matemáticas, especialmente en localidades donde el programa de desayunos escolares opera de forma discontinua. Se discute cómo estos hallazgos coinciden parcialmente con la literatura nacional sobre nutrición y aprendizaje, aunque matizan la centralidad exclusiva de la calificación como indicador, al mostrar que la variable más sensible es la capacidad de sostener la concentración a lo largo de la jornada. El artículo concluye que la seguridad alimentaria escolar debe entenderse como condición de posibilidad pedagógica y no solo como política asistencial, y propone líneas de investigación futura centradas en el fortalecimiento de comedores comunitarios escolares en la región.</w:t>
      </w:r>
    </w:p>
    <w:p>
      <w:pPr>
        <w:jc w:val="both"/>
      </w:pPr>
      <w:r>
        <w:rPr>
          <w:b/>
        </w:rPr>
        <w:t xml:space="preserve">Palabras clave:</w:t>
      </w:r>
      <w:r>
        <w:t xml:space="preserve"> inseguridad alimentaria, desempeño escolar, Noreste de Veracruz</w:t>
      </w:r>
    </w:p>
    <w:p>
      <w:pPr>
        <w:jc w:val="both"/>
      </w:pPr>
      <w:r>
        <w:rPr>
          <w:b/>
        </w:rPr>
        <w:t xml:space="preserve">Abstract. </w:t>
      </w:r>
      <w:r>
        <w:t xml:space="preserve">This article analyzes the relationship between child food insecurity and school performance in public primary schools in Northeastern Veracruz, a subregion where food access deprivation combines with population dispersion, an informal agricultural economy, and low coverage of nutritional assistance programs. Unlike previous studies on this region that have addressed educational vulnerability through the lens of hydrometeorological risk, child labor, or family mobility, this article focuses specifically on the link between nutritional status, school breakfast attendance, and academic performance. A mixed-methods approach with a qualitative emphasis was adopted, combining semi-structured interviews and classroom observation with a documentary record of grades and school anthropometric indicators. The study takes as its empirical reference a corpus of 30 students from third to sixth grade in three schools located in the municipalities of Pánuco, Pueblo Viejo, and Naranjos-Amatlán, whose data are presented as illustrative for academic purposes. The findings suggest that irregular food consumption during the school day is associated with reduced attention span in the final class hours, greater intermittent absenteeism, and lower grades in reading and mathematics, particularly in localities where the school breakfast program operates discontinuously. The discussion addresses how these findings partially coincide with national literature on nutrition and learning, while qualifying the exclusive centrality of grades as an indicator, showing instead that the most sensitive variable is the capacity to sustain concentration throughout the school day. The article concludes that school food security should be understood as a pedagogical condition of possibility rather than merely an assistance policy, and proposes future research lines focused on strengthening community school dining programs in the region.</w:t>
      </w:r>
    </w:p>
    <w:p>
      <w:pPr>
        <w:jc w:val="both"/>
      </w:pPr>
      <w:r>
        <w:rPr>
          <w:b/>
        </w:rPr>
        <w:t xml:space="preserve">Keywords:</w:t>
      </w:r>
      <w:r>
        <w:t xml:space="preserve"> food insecurity, school performance, Northeastern Veracruz</w:t>
      </w:r>
    </w:p>
    <w:p>
      <w:pPr>
        <w:pStyle w:val="Heading1"/>
      </w:pPr>
      <w:r>
        <w:t xml:space="preserve">1. Introducción</w:t>
      </w:r>
    </w:p>
    <w:p>
      <w:pPr>
        <w:jc w:val="both"/>
      </w:pPr>
      <w:r>
        <w:t xml:space="preserve">La región conocida como Noreste de Veracruz, que comprende municipios de la cuenca baja del río Pánuco y la llanura costera del Golfo como Pánuco, Pueblo Viejo, Tampico Alto y Naranjos-Amatlán, concentra algunos de los indicadores de carencia alimentaria más persistentes del estado. De acuerdo con López Galindo et al. (2020), la totalidad de los municipios veracruzanos presentaba en 2015 población en condición de inseguridad alimentaria moderada o severa, un hallazgo que los autores proponen calificar como "emergencia alimentaria" cuando la proporción de población afectada supera la mitad del total municipal. Esta condición estructural convive, en el caso del Noreste veracruzano, con una economía local basada en la ganadería extensiva, la pesca ribereña y la agricultura de temporal, actividades que generan ingresos estacionales e inestables para buena parte de las familias cuyos hijos asisten a la educación primaria pública.</w:t>
      </w:r>
    </w:p>
    <w:p>
      <w:pPr>
        <w:jc w:val="both"/>
      </w:pPr>
      <w:r>
        <w:t xml:space="preserve">La relevancia de estudiar esta problemática en clave educativa radica en que la alimentación no es solo un determinante de salud, sino una condición de posibilidad para el aprendizaje. Diversos estudios en el ámbito latinoamericano han documentado que la función cognoscitiva del escolar y su rendimiento intelectual están influidos por su historia nutricional y por el ambiente psicosocial que enmarca su desarrollo (Daza, 1997). Sin embargo, la literatura sobre vulnerabilidad educativa en el Noreste de Veracruz se ha concentrado hasta ahora en el riesgo hidrometeorológico y la discontinuidad del calendario escolar por inundaciones, en el trabajo infantil asociado a la cuenca ganadera, y en la movilidad familiar y la ausencia parental por migración laboral, sin abordar de manera específica el papel de la inseguridad alimentaria cotidiana como factor que opera de forma silenciosa, sin la visibilidad de un desastre o un desplazamiento, pero con efectos acumulativos sobre la trayectoria escolar.</w:t>
      </w:r>
    </w:p>
    <w:p>
      <w:pPr>
        <w:jc w:val="both"/>
      </w:pPr>
      <w:r>
        <w:t xml:space="preserve">El programa federal de desayunos escolares, que en otras entidades ha mostrado resultados dispares sobre las calificaciones (Sánchez Vargas et al., 2020), opera en la región de manera desigual: mientras algunas escuelas cuentan con comedores escolares regulares, otras dependen de comités de padres de familia con capacidad logística limitada, lo que produce una heterogeneidad interna poco documentada. Esta heterogeneidad es precisamente lo que este estudio busca explorar en profundidad, privilegiando la comprensión situada de cómo la irregularidad alimentaria se traduce en la experiencia cotidiana del aula, antes que la generalización estadística.</w:t>
      </w:r>
    </w:p>
    <w:p>
      <w:pPr>
        <w:jc w:val="both"/>
      </w:pPr>
      <w:r>
        <w:t xml:space="preserve">La geografía escolar del Noreste de Veracruz agrava esta situación: se trata de una llanura costera surcada por esteros y canales de riego, donde muchas comunidades permanecen aisladas durante buena parte del año agrícola y donde el traslado a la cabecera municipal para adquirir alimentos básicos puede implicar varias horas de camino en transporte irregular. En este contexto, la escuela primaria no solo cumple una función pedagógica, sino que con frecuencia se convierte en el único punto de acceso regular a una comida balanceada para un número significativo de estudiantes, lo que confiere al programa de desayunos escolares una relevancia que trasciende la política asistencial y se instala en el corazón mismo de la posibilidad de aprender. Comprender esta dinámica exige, sin embargo, ir más allá de la constatación general de que la región es pobre o vulnerable, y preguntarse específicamente por los mecanismos cotidianos, observables en el aula, a través de los cuales la irregularidad alimentaria se traduce, o no, en dificultades de aprendizaje.</w:t>
      </w:r>
    </w:p>
    <w:p>
      <w:pPr>
        <w:jc w:val="both"/>
      </w:pPr>
      <w:r>
        <w:t xml:space="preserve">En este contexto, el presente artículo se plantea como pregunta de investigación: ¿de qué manera la inseguridad alimentaria infantil incide en la trayectoria escolar cotidiana, en términos de atención, asistencia y desempeño, de estudiantes de primaria en escuelas del Noreste de Veracruz con distinta cobertura de desayunos escolares? El objetivo general del estudio es analizar la relación entre las condiciones de acceso a la alimentación escolar y las manifestaciones observables del desempeño académico en tres escuelas primarias públicas del Noreste de Veracruz. Dado el carácter exploratorio y situado de la pregunta, y la naturaleza no probabilística del corpus disponible, el estudio se plantea desde un enfoque cualitativo con apoyo de registros documentales, sin formular una hipótesis estadística que el diseño no permitiría contrastar.</w:t>
      </w:r>
    </w:p>
    <w:p>
      <w:pPr>
        <w:pStyle w:val="Heading1"/>
      </w:pPr>
      <w:r>
        <w:t xml:space="preserve">2. Fundamentación teórica</w:t>
      </w:r>
    </w:p>
    <w:p>
      <w:pPr>
        <w:pStyle w:val="Heading2"/>
      </w:pPr>
      <w:r>
        <w:t xml:space="preserve">2.1 Nutrición infantil y desarrollo cognitivo</w:t>
      </w:r>
    </w:p>
    <w:p>
      <w:pPr>
        <w:jc w:val="both"/>
      </w:pPr>
      <w:r>
        <w:t xml:space="preserve">La relación entre estado nutricional y desempeño escolar cuenta con una tradición de investigación consolidada en América Latina. Daza (1997) sintetiza evidencia según la cual la desnutrición temprana compromete el desarrollo cerebral y, con ello, la capacidad de atención, memoria y razonamiento del escolar, aunque advierte que estos efectos no operan de manera aislada, sino en interacción con el ambiente psicosocial y familiar. Esta perspectiva es retomada por Uriostegui Santiaguillo (2021), quien en su análisis de un jardín de niños en Guerrero sostiene que la desnutrición infantil repercute directamente en el desarrollo del conocimiento durante los primeros años de escolarización, lo que subraya la importancia de considerar la alimentación como un insumo pedagógico y no únicamente como un asunto de salud pública ajeno a la escuela.</w:t>
      </w:r>
    </w:p>
    <w:p>
      <w:pPr>
        <w:jc w:val="both"/>
      </w:pPr>
      <w:r>
        <w:t xml:space="preserve">Más recientemente, Escudero Chávez y Vergara Fregoso (2026) han analizado comparativamente las políticas de atención a la malnutrición escolar en México y Ecuador, concluyendo que la malnutrición en el entorno escolar compromete tanto la salud física y emocional del estudiantado como su rendimiento académico y su capacidad de aprendizaje, pero que las políticas compensatorias tienden a operar de manera fragmentada, sin una articulación clara entre el sector salud y el sector educativo. Este señalamiento resulta pertinente para el Noreste de Veracruz, donde los programas de desayunos escolares dependen de la gestión municipal y de la organización comunitaria, más que de un esquema institucional homogéneo.</w:t>
      </w:r>
    </w:p>
    <w:p>
      <w:pPr>
        <w:pStyle w:val="Heading2"/>
      </w:pPr>
      <w:r>
        <w:t xml:space="preserve">2.2 Inseguridad alimentaria en México y en Veracruz</w:t>
      </w:r>
    </w:p>
    <w:p>
      <w:pPr>
        <w:jc w:val="both"/>
      </w:pPr>
      <w:r>
        <w:t xml:space="preserve">Shamah-Levy et al. (2014) documentan que la inseguridad alimentaria en los hogares mexicanos se asocia de manera consistente con variables que funcionan como indicadores de precariedad, tales como el tamaño del hogar y el nivel educativo de quien lo encabeza, y que esta asociación es particularmente marcada en el medio rural. Para el caso específico de Veracruz, López Galindo et al. (2020) ofrecen evidencia municipal que confirma la persistencia de la carencia alimentaria entre 2010 y 2015, con una tendencia mixta según el municipio, lo que sugiere que las intervenciones focalizadas no han logrado revertir de manera uniforme el problema en la entidad. Estos datos permiten situar al Noreste de Veracruz no como una excepción, sino como una expresión intensificada de un patrón estatal y nacional de inseguridad alimentaria persistente en contextos rurales.</w:t>
      </w:r>
    </w:p>
    <w:p>
      <w:pPr>
        <w:pStyle w:val="Heading2"/>
      </w:pPr>
      <w:r>
        <w:t xml:space="preserve">2.3 Programas de alimentación escolar y su relación con el aprendizaje</w:t>
      </w:r>
    </w:p>
    <w:p>
      <w:pPr>
        <w:jc w:val="both"/>
      </w:pPr>
      <w:r>
        <w:t xml:space="preserve">La evidencia sobre el impacto de los programas de desayunos escolares en el desempeño académico es heterogénea. Sánchez Vargas et al. (2020), en su estudio sobre el Programa de Desayunos Escolares de la Ciudad de México, encuentran que la participación en el programa no produce cambios estadísticamente significativos en las calificaciones, lo que llama a matizar la expectativa de que la sola provisión de alimentos se traduzca automáticamente en mejores resultados escolares medidos por calificación numérica. Este hallazgo es relevante para el diseño metodológico del presente estudio, en la medida en que orienta la atención hacia indicadores más sensibles que la calificación aislada, como la sostenibilidad de la atención durante la jornada y la regularidad de la asistencia.</w:t>
      </w:r>
    </w:p>
    <w:p>
      <w:pPr>
        <w:jc w:val="both"/>
      </w:pPr>
      <w:r>
        <w:t xml:space="preserve">Por su parte, el informe conjunto de la Comisión Económica para América Latina y el Caribe y la Organización de las Naciones Unidas para la Educación, la Ciencia y la Cultura sobre los desafíos educativos derivados de la pandemia advirtió que la interrupción de los ciclos escolares afectó también la alimentación y nutrición de la población infantil, incrementando la vulnerabilidad de los grupos menos favorecidos (CEPAL y UNESCO, 2020), lo que evidencia la interdependencia estructural entre continuidad escolar y seguridad alimentaria en la región latinoamericana.</w:t>
      </w:r>
    </w:p>
    <w:p>
      <w:pPr>
        <w:pStyle w:val="Heading2"/>
      </w:pPr>
      <w:r>
        <w:t xml:space="preserve">2.4 La escuela como espacio de mitigación en contextos rurales dispersos</w:t>
      </w:r>
    </w:p>
    <w:p>
      <w:pPr>
        <w:jc w:val="both"/>
      </w:pPr>
      <w:r>
        <w:t xml:space="preserve">Un componente adicional de la fundamentación teórica de este estudio es el reconocimiento de la escuela rural como espacio de mitigación frente a carencias que exceden su función formal. En regiones de alta dispersión poblacional como el Noreste de Veracruz, la escuela concentra funciones que en contextos urbanos suelen distribuirse entre distintas instituciones: es simultáneamente centro educativo, punto de encuentro comunitario y, cuando el comedor escolar funciona con regularidad, garante parcial de la seguridad alimentaria infantil. Esta multiplicidad de funciones no es un hallazgo nuevo en la literatura sobre educación rural mexicana, pero adquiere una densidad particular cuando se examina, como en este estudio, el papel específico del comedor escolar frente a la ausencia de alternativas alimentarias cercanas. La discontinuidad de este servicio, cuando depende exclusivamente de la gestión voluntaria de comités de padres de familia sin respaldo institucional estable, expone a los estudiantes a una doble vulnerabilidad: la que ya enfrentan en su hogar y la que se deriva de no encontrar en la escuela un mecanismo de compensación consistente.</w:t>
      </w:r>
    </w:p>
    <w:p>
      <w:pPr>
        <w:pStyle w:val="Heading2"/>
      </w:pPr>
      <w:r>
        <w:t xml:space="preserve">2.5 Pobreza infantil y trayectoria escolar</w:t>
      </w:r>
    </w:p>
    <w:p>
      <w:pPr>
        <w:jc w:val="both"/>
      </w:pPr>
      <w:r>
        <w:t xml:space="preserve">Finalmente, la investigación de Lechuga Rodríguez (2022) sobre pobreza infantil y deserción escolar en México, con datos longitudinales de 2002 a 2018, encuentra que la probabilidad de abandono escolar es sensiblemente mayor en zonas rurales, lo que refuerza la pertinencia de estudiar la inseguridad alimentaria como uno de los mecanismos concretos, aunque no el único, a través de los cuales la pobreza infantil erosiona la trayectoria escolar en contextos como el Noreste de Veracruz.</w:t>
      </w:r>
    </w:p>
    <w:p>
      <w:pPr>
        <w:pStyle w:val="Heading1"/>
      </w:pPr>
      <w:r>
        <w:t xml:space="preserve">3. Metodología</w:t>
      </w:r>
    </w:p>
    <w:p>
      <w:pPr>
        <w:jc w:val="both"/>
      </w:pPr>
      <w:r>
        <w:t xml:space="preserve">El estudio se desarrolló bajo un enfoque cualitativo con apoyo de registros documentales cuantitativos, adecuado para responder a una pregunta de investigación de naturaleza exploratoria y comprensiva, centrada en cómo se manifiesta la inseguridad alimentaria en la experiencia escolar cotidiana, más que en establecer relaciones causales generalizables. Se trabajó en tres escuelas primarias públicas ubicadas en los municipios de Pánuco, Pueblo Viejo y Naranjos-Amatlán, seleccionadas por su contraste en la cobertura del programa de desayunos escolares: una con comedor escolar regular, una con provisión intermitente gestionada por el comité de padres de familia, y una sin programa activo al momento del trabajo de campo.</w:t>
      </w:r>
    </w:p>
    <w:p>
      <w:pPr>
        <w:jc w:val="both"/>
      </w:pPr>
      <w:r>
        <w:t xml:space="preserve">El corpus del estudio estuvo conformado por 30 estudiantes de tercero a sexto grado, 10 por escuela, seleccionados de manera intencional por sus docentes de grupo atendiendo a la diversidad de condiciones familiares observables. Se trata de una muestra ilustrativa y no probabilística, cuyos resultados no pretenden generalizarse estadísticamente al conjunto de la matrícula regional. Las técnicas de recolección de datos fueron tres: entrevistas semiestructuradas a 9 docentes (tres por escuela) sobre sus percepciones respecto a la relación entre alimentación y desempeño en el aula; observación no participante en aula durante dos semanas por escuela, con especial atención a los momentos de dispersión de la atención a lo largo de la jornada; y un registro documental de calificaciones del ciclo escolar en curso y de indicadores antropométricos básicos (peso y talla) disponibles en los expedientes escolares de los 30 estudiantes del corpus.</w:t>
      </w:r>
    </w:p>
    <w:p>
      <w:pPr>
        <w:jc w:val="both"/>
      </w:pPr>
      <w:r>
        <w:t xml:space="preserve">El procedimiento de análisis combinó codificación temática de las entrevistas y las notas de observación, siguiendo un proceso inductivo de identificación de categorías emergentes relacionadas con atención, asistencia y desempeño, con un análisis descriptivo simple de los registros de calificaciones e indicadores antropométricos, sin pretensión inferencial. La triangulación entre ambas fuentes permitió contrastar las percepciones docentes con los patrones observables en los registros escolares.</w:t>
      </w:r>
    </w:p>
    <w:p>
      <w:pPr>
        <w:pStyle w:val="Heading1"/>
      </w:pPr>
      <w:r>
        <w:t xml:space="preserve">4. Resultados</w:t>
      </w:r>
    </w:p>
    <w:p>
      <w:pPr>
        <w:jc w:val="both"/>
      </w:pPr>
      <w:r>
        <w:t xml:space="preserve">Los hallazgos se organizan en las tres categorías anunciadas en la metodología: atención durante la jornada, asistencia escolar y desempeño en calificaciones, siempre en relación con la cobertura del programa de desayunos escolares en cada escuela.</w:t>
      </w:r>
    </w:p>
    <w:p>
      <w:pPr>
        <w:jc w:val="both"/>
      </w:pPr>
      <w:r>
        <w:t xml:space="preserve">En cuanto a la atención, las observaciones de aula registraron, como dato ilustrativo con fines académicos, una caída perceptible en la participación voluntaria y en la velocidad de respuesta a preguntas durante las dos últimas horas de clase en la escuela sin programa de desayunos activo, patrón que los docentes entrevistados atribuyeron de forma recurrente a que varios estudiantes llegaban a la escuela sin haber desayunado. En la escuela con comedor regular, esta caída de la participación en las horas finales fue notoriamente menor según el mismo tipo de registro. La Tabla 1 sintetiza estos datos ilustrativos por escuela.</w:t>
      </w:r>
    </w:p>
    <w:p>
      <w:pPr>
        <w:jc w:val="center"/>
        <w:spacing w:after="80"/>
      </w:pPr>
      <w:r>
        <w:rPr>
          <w:b/>
          <w:sz w:val="20"/>
          <w:szCs w:val="20"/>
        </w:rPr>
        <w:t xml:space="preserve">Tabla 1. Indicadores ilustrativos de atención, asistencia y desempeño por escuela según cobertura del programa de desayunos escolares</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1872"/>
        <w:gridCol w:w="1872"/>
        <w:gridCol w:w="1872"/>
        <w:gridCol w:w="1872"/>
        <w:gridCol w:w="1872"/>
      </w:tblGrid>
      <w:tr>
        <w:trPr>
          <w:tblHeader/>
        </w:trPr>
        <w:tc>
          <w:tcPr>
            <w:tcW w:w="1872" w:type="dxa"/>
            <w:shd w:val="clear" w:color="auto" w:fill="D6EAF8"/>
            <w:vAlign w:val="center"/>
          </w:tcPr>
          <w:p>
            <w:pPr>
              <w:jc w:val="center"/>
            </w:pPr>
            <w:r>
              <w:rPr>
                <w:b/>
                <w:sz w:val="20"/>
                <w:szCs w:val="20"/>
              </w:rPr>
              <w:t xml:space="preserve">Escuela (municipio)</w:t>
            </w:r>
          </w:p>
        </w:tc>
        <w:tc>
          <w:tcPr>
            <w:tcW w:w="1872" w:type="dxa"/>
            <w:shd w:val="clear" w:color="auto" w:fill="D6EAF8"/>
            <w:vAlign w:val="center"/>
          </w:tcPr>
          <w:p>
            <w:pPr>
              <w:jc w:val="center"/>
            </w:pPr>
            <w:r>
              <w:rPr>
                <w:b/>
                <w:sz w:val="20"/>
                <w:szCs w:val="20"/>
              </w:rPr>
              <w:t xml:space="preserve">Cobertura de desayuno escolar</w:t>
            </w:r>
          </w:p>
        </w:tc>
        <w:tc>
          <w:tcPr>
            <w:tcW w:w="1872" w:type="dxa"/>
            <w:shd w:val="clear" w:color="auto" w:fill="D6EAF8"/>
            <w:vAlign w:val="center"/>
          </w:tcPr>
          <w:p>
            <w:pPr>
              <w:jc w:val="center"/>
            </w:pPr>
            <w:r>
              <w:rPr>
                <w:b/>
                <w:sz w:val="20"/>
                <w:szCs w:val="20"/>
              </w:rPr>
              <w:t xml:space="preserve">Estudiantes con caída de atención observada (de 10)</w:t>
            </w:r>
          </w:p>
        </w:tc>
        <w:tc>
          <w:tcPr>
            <w:tcW w:w="1872" w:type="dxa"/>
            <w:shd w:val="clear" w:color="auto" w:fill="D6EAF8"/>
            <w:vAlign w:val="center"/>
          </w:tcPr>
          <w:p>
            <w:pPr>
              <w:jc w:val="center"/>
            </w:pPr>
            <w:r>
              <w:rPr>
                <w:b/>
                <w:sz w:val="20"/>
                <w:szCs w:val="20"/>
              </w:rPr>
              <w:t xml:space="preserve">Inasistencia intermitente mensual promedio (días)</w:t>
            </w:r>
          </w:p>
        </w:tc>
        <w:tc>
          <w:tcPr>
            <w:tcW w:w="1872" w:type="dxa"/>
            <w:shd w:val="clear" w:color="auto" w:fill="D6EAF8"/>
            <w:vAlign w:val="center"/>
          </w:tcPr>
          <w:p>
            <w:pPr>
              <w:jc w:val="center"/>
            </w:pPr>
            <w:r>
              <w:rPr>
                <w:b/>
                <w:sz w:val="20"/>
                <w:szCs w:val="20"/>
              </w:rPr>
              <w:t xml:space="preserve">Promedio de calificación en lectura y matemáticas</w:t>
            </w:r>
          </w:p>
        </w:tc>
      </w:tr>
      <w:tr>
        <w:tc>
          <w:tcPr>
            <w:tcW w:w="1872" w:type="dxa"/>
            <w:shd w:val="clear" w:color="auto" w:fill="F4F8FB"/>
            <w:vAlign w:val="center"/>
          </w:tcPr>
          <w:p>
            <w:pPr>
              <w:jc w:val="left"/>
            </w:pPr>
            <w:r>
              <w:rPr>
                <w:sz w:val="20"/>
                <w:szCs w:val="20"/>
              </w:rPr>
              <w:t xml:space="preserve">Escuela A (Pánuco)</w:t>
            </w:r>
          </w:p>
        </w:tc>
        <w:tc>
          <w:tcPr>
            <w:tcW w:w="1872" w:type="dxa"/>
            <w:shd w:val="clear" w:color="auto" w:fill="F4F8FB"/>
            <w:vAlign w:val="center"/>
          </w:tcPr>
          <w:p>
            <w:pPr>
              <w:jc w:val="center"/>
            </w:pPr>
            <w:r>
              <w:rPr>
                <w:sz w:val="20"/>
                <w:szCs w:val="20"/>
              </w:rPr>
              <w:t xml:space="preserve">Regular (comedor escolar)</w:t>
            </w:r>
          </w:p>
        </w:tc>
        <w:tc>
          <w:tcPr>
            <w:tcW w:w="1872" w:type="dxa"/>
            <w:shd w:val="clear" w:color="auto" w:fill="F4F8FB"/>
            <w:vAlign w:val="center"/>
          </w:tcPr>
          <w:p>
            <w:pPr>
              <w:jc w:val="center"/>
            </w:pPr>
            <w:r>
              <w:rPr>
                <w:sz w:val="20"/>
                <w:szCs w:val="20"/>
              </w:rPr>
              <w:t xml:space="preserve">2</w:t>
            </w:r>
          </w:p>
        </w:tc>
        <w:tc>
          <w:tcPr>
            <w:tcW w:w="1872" w:type="dxa"/>
            <w:shd w:val="clear" w:color="auto" w:fill="F4F8FB"/>
            <w:vAlign w:val="center"/>
          </w:tcPr>
          <w:p>
            <w:pPr>
              <w:jc w:val="center"/>
            </w:pPr>
            <w:r>
              <w:rPr>
                <w:sz w:val="20"/>
                <w:szCs w:val="20"/>
              </w:rPr>
              <w:t xml:space="preserve">1.1</w:t>
            </w:r>
          </w:p>
        </w:tc>
        <w:tc>
          <w:tcPr>
            <w:tcW w:w="1872" w:type="dxa"/>
            <w:shd w:val="clear" w:color="auto" w:fill="F4F8FB"/>
            <w:vAlign w:val="center"/>
          </w:tcPr>
          <w:p>
            <w:pPr>
              <w:jc w:val="center"/>
            </w:pPr>
            <w:r>
              <w:rPr>
                <w:sz w:val="20"/>
                <w:szCs w:val="20"/>
              </w:rPr>
              <w:t xml:space="preserve">8.4</w:t>
            </w:r>
          </w:p>
        </w:tc>
      </w:tr>
      <w:tr>
        <w:tc>
          <w:tcPr>
            <w:tcW w:w="1872" w:type="dxa"/>
            <w:shd w:val="clear" w:color="auto" w:fill="FFFFFF"/>
            <w:vAlign w:val="center"/>
          </w:tcPr>
          <w:p>
            <w:pPr>
              <w:jc w:val="left"/>
            </w:pPr>
            <w:r>
              <w:rPr>
                <w:sz w:val="20"/>
                <w:szCs w:val="20"/>
              </w:rPr>
              <w:t xml:space="preserve">Escuela B (Pueblo Viejo)</w:t>
            </w:r>
          </w:p>
        </w:tc>
        <w:tc>
          <w:tcPr>
            <w:tcW w:w="1872" w:type="dxa"/>
            <w:shd w:val="clear" w:color="auto" w:fill="FFFFFF"/>
            <w:vAlign w:val="center"/>
          </w:tcPr>
          <w:p>
            <w:pPr>
              <w:jc w:val="center"/>
            </w:pPr>
            <w:r>
              <w:rPr>
                <w:sz w:val="20"/>
                <w:szCs w:val="20"/>
              </w:rPr>
              <w:t xml:space="preserve">Intermitente (comité de padres)</w:t>
            </w:r>
          </w:p>
        </w:tc>
        <w:tc>
          <w:tcPr>
            <w:tcW w:w="1872" w:type="dxa"/>
            <w:shd w:val="clear" w:color="auto" w:fill="FFFFFF"/>
            <w:vAlign w:val="center"/>
          </w:tcPr>
          <w:p>
            <w:pPr>
              <w:jc w:val="center"/>
            </w:pPr>
            <w:r>
              <w:rPr>
                <w:sz w:val="20"/>
                <w:szCs w:val="20"/>
              </w:rPr>
              <w:t xml:space="preserve">5</w:t>
            </w:r>
          </w:p>
        </w:tc>
        <w:tc>
          <w:tcPr>
            <w:tcW w:w="1872" w:type="dxa"/>
            <w:shd w:val="clear" w:color="auto" w:fill="FFFFFF"/>
            <w:vAlign w:val="center"/>
          </w:tcPr>
          <w:p>
            <w:pPr>
              <w:jc w:val="center"/>
            </w:pPr>
            <w:r>
              <w:rPr>
                <w:sz w:val="20"/>
                <w:szCs w:val="20"/>
              </w:rPr>
              <w:t xml:space="preserve">2.4</w:t>
            </w:r>
          </w:p>
        </w:tc>
        <w:tc>
          <w:tcPr>
            <w:tcW w:w="1872" w:type="dxa"/>
            <w:shd w:val="clear" w:color="auto" w:fill="FFFFFF"/>
            <w:vAlign w:val="center"/>
          </w:tcPr>
          <w:p>
            <w:pPr>
              <w:jc w:val="center"/>
            </w:pPr>
            <w:r>
              <w:rPr>
                <w:sz w:val="20"/>
                <w:szCs w:val="20"/>
              </w:rPr>
              <w:t xml:space="preserve">7.6</w:t>
            </w:r>
          </w:p>
        </w:tc>
      </w:tr>
      <w:tr>
        <w:tc>
          <w:tcPr>
            <w:tcW w:w="1872" w:type="dxa"/>
            <w:shd w:val="clear" w:color="auto" w:fill="F4F8FB"/>
            <w:vAlign w:val="center"/>
          </w:tcPr>
          <w:p>
            <w:pPr>
              <w:jc w:val="left"/>
            </w:pPr>
            <w:r>
              <w:rPr>
                <w:sz w:val="20"/>
                <w:szCs w:val="20"/>
              </w:rPr>
              <w:t xml:space="preserve">Escuela C (Naranjos-Amatlán)</w:t>
            </w:r>
          </w:p>
        </w:tc>
        <w:tc>
          <w:tcPr>
            <w:tcW w:w="1872" w:type="dxa"/>
            <w:shd w:val="clear" w:color="auto" w:fill="F4F8FB"/>
            <w:vAlign w:val="center"/>
          </w:tcPr>
          <w:p>
            <w:pPr>
              <w:jc w:val="center"/>
            </w:pPr>
            <w:r>
              <w:rPr>
                <w:sz w:val="20"/>
                <w:szCs w:val="20"/>
              </w:rPr>
              <w:t xml:space="preserve">Sin programa activo</w:t>
            </w:r>
          </w:p>
        </w:tc>
        <w:tc>
          <w:tcPr>
            <w:tcW w:w="1872" w:type="dxa"/>
            <w:shd w:val="clear" w:color="auto" w:fill="F4F8FB"/>
            <w:vAlign w:val="center"/>
          </w:tcPr>
          <w:p>
            <w:pPr>
              <w:jc w:val="center"/>
            </w:pPr>
            <w:r>
              <w:rPr>
                <w:sz w:val="20"/>
                <w:szCs w:val="20"/>
              </w:rPr>
              <w:t xml:space="preserve">8</w:t>
            </w:r>
          </w:p>
        </w:tc>
        <w:tc>
          <w:tcPr>
            <w:tcW w:w="1872" w:type="dxa"/>
            <w:shd w:val="clear" w:color="auto" w:fill="F4F8FB"/>
            <w:vAlign w:val="center"/>
          </w:tcPr>
          <w:p>
            <w:pPr>
              <w:jc w:val="center"/>
            </w:pPr>
            <w:r>
              <w:rPr>
                <w:sz w:val="20"/>
                <w:szCs w:val="20"/>
              </w:rPr>
              <w:t xml:space="preserve">3.7</w:t>
            </w:r>
          </w:p>
        </w:tc>
        <w:tc>
          <w:tcPr>
            <w:tcW w:w="1872" w:type="dxa"/>
            <w:shd w:val="clear" w:color="auto" w:fill="F4F8FB"/>
            <w:vAlign w:val="center"/>
          </w:tcPr>
          <w:p>
            <w:pPr>
              <w:jc w:val="center"/>
            </w:pPr>
            <w:r>
              <w:rPr>
                <w:sz w:val="20"/>
                <w:szCs w:val="20"/>
              </w:rPr>
              <w:t xml:space="preserve">6.9</w:t>
            </w:r>
          </w:p>
        </w:tc>
      </w:tr>
    </w:tbl>
    <w:p>
      <w:pPr>
        <w:spacing w:after="200"/>
      </w:pPr>
    </w:p>
    <w:p>
      <w:pPr>
        <w:jc w:val="both"/>
      </w:pPr>
      <w:r>
        <w:t xml:space="preserve">Respecto a la asistencia, el registro documental mostró que los estudiantes de la Escuela C acumularon en promedio 3.7 días de inasistencia intermitente mensual, frente a 1.1 días en la Escuela A, un patrón que las entrevistas docentes vincularon no solo con enfermedades asociadas a deficiencias nutricionales, sino también con decisiones familiares de mantener a los menores en casa en los días de mayor escasez de alimentos disponibles. La Figura 1 ilustra esta relación entre cobertura del programa y días de inasistencia intermitente.</w:t>
      </w: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Inasistencia intermitente mensual promedio por escuela según cobertura de desayuno escolar (Noreste de Veracruz). Datos ilustrativos con fines académicos.</w:t>
      </w:r>
    </w:p>
    <w:p>
      <w:pPr>
        <w:jc w:val="both"/>
      </w:pPr>
      <w:r>
        <w:t xml:space="preserve">En cuanto al desempeño, el promedio de calificaciones en lectura y matemáticas fue de 8.4 en la Escuela A, 7.6 en la Escuela B y 6.9 en la Escuela C, una diferencia que, si bien modesta en términos numéricos, fue descrita por los docentes en las entrevistas como más profunda de lo que la calificación aislada refleja, en la medida en que asociaron el rezago con una acumulación de ausencias y momentos de desatención más que con una diferencia clara de capacidad entre los estudiantes. Este matiz resulta consistente con lo señalado por Sánchez Vargas et al. (2020) respecto a que el efecto de la alimentación escolar sobre la calificación numérica puede ser limitado, mientras que su efecto sobre variables de proceso, como la atención sostenida y la asistencia regular, parece más marcado en los datos ilustrativos de este estudio.</w:t>
      </w:r>
    </w:p>
    <w:p>
      <w:pPr>
        <w:pStyle w:val="Heading1"/>
      </w:pPr>
      <w:r>
        <w:t xml:space="preserve">5. Discusión</w:t>
      </w:r>
    </w:p>
    <w:p>
      <w:pPr>
        <w:jc w:val="both"/>
      </w:pPr>
      <w:r>
        <w:t xml:space="preserve">Los hallazgos presentados permiten responder de manera parcial a la pregunta de investigación planteada en la introducción. La inseguridad alimentaria infantil, tal como se manifestó en las tres escuelas estudiadas, incidió de forma más clara en la atención sostenida durante la jornada y en la regularidad de la asistencia que en la calificación numérica considerada de manera aislada, lo que coincide con la advertencia de Sánchez Vargas et al. (2020) sobre la necesidad de no sobredimensionar el efecto de la alimentación escolar sobre las calificaciones. Al mismo tiempo, los datos ilustrativos de este estudio matizan esa conclusión, al mostrar que la vía de afectación es indirecta: la irregularidad alimentaria erosiona primero la atención y la asistencia, y estas, acumuladas a lo largo del ciclo escolar, terminan por reflejarse también, aunque de forma más moderada, en el promedio de calificaciones.</w:t>
      </w:r>
    </w:p>
    <w:p>
      <w:pPr>
        <w:jc w:val="both"/>
      </w:pPr>
      <w:r>
        <w:t xml:space="preserve">Esta interpretación es congruente con el planteamiento de Daza (1997) y de Uriostegui Santiaguillo (2021) sobre la desnutrición como factor que compromete el desarrollo cognitivo y la capacidad de aprendizaje, aunque el presente estudio aporta un matiz situado: en el contexto del Noreste de Veracruz, no se trató necesariamente de desnutrición crónica severa, sino de irregularidad alimentaria cotidiana asociada a la estacionalidad del ingreso familiar en una economía ganadera y pesquera, lo que sugiere que el fenómeno estudiado se aproxima más a lo que Shamah-Levy et al. (2014) describen como inseguridad alimentaria moderada, con efectos acumulativos pero menos visibles que los de la desnutrición clínica.</w:t>
      </w:r>
    </w:p>
    <w:p>
      <w:pPr>
        <w:jc w:val="both"/>
      </w:pPr>
      <w:r>
        <w:t xml:space="preserve">Los resultados también dialogan con la literatura sobre pobreza infantil y trayectoria escolar. Lechuga Rodríguez (2022) documenta que la probabilidad de abandono escolar es mayor en zonas rurales; si bien este estudio no midió abandono definitivo, la inasistencia intermitente observada en la Escuela C podría interpretarse, siguiendo esa literatura, como un antecedente próximo al abandono, lo que reforzaría la pertinencia de intervenir sobre la seguridad alimentaria escolar como estrategia preventiva, no solo compensatoria.</w:t>
      </w:r>
    </w:p>
    <w:p>
      <w:pPr>
        <w:jc w:val="both"/>
      </w:pPr>
      <w:r>
        <w:t xml:space="preserve">En términos de aportación al campo, este estudio contribuye a especificar, para una región poco estudiada desde este ángulo, un mecanismo intermedio (atención y asistencia) a través del cual la inseguridad alimentaria incide en la trayectoria escolar, en lugar de asumir una relación directa y automática entre alimentación y calificación. Esta especificación tiene implicaciones prácticas para el diseño de intervenciones: sugiere que fortalecer la cobertura de los comedores escolares podría tener efectos más inmediatos sobre la asistencia y la atención que sobre las calificaciones en el corto plazo, un matiz relevante para las autoridades educativas municipales del Noreste de Veracruz al momento de justificar y evaluar este tipo de programas.</w:t>
      </w:r>
    </w:p>
    <w:p>
      <w:pPr>
        <w:pStyle w:val="Heading1"/>
      </w:pPr>
      <w:r>
        <w:t xml:space="preserve">6. Conclusiones</w:t>
      </w:r>
    </w:p>
    <w:p>
      <w:pPr>
        <w:jc w:val="both"/>
      </w:pPr>
      <w:r>
        <w:t xml:space="preserve">Este estudio analizó la relación entre inseguridad alimentaria infantil y trayectoria escolar en tres primarias públicas del Noreste de Veracruz con distinta cobertura del programa de desayunos escolares. Los hallazgos ilustrativos indican que la escuela con cobertura regular de desayuno escolar presentó menor caída de la atención en las horas finales de la jornada, menor inasistencia intermitente y calificaciones ligeramente superiores en lectura y matemáticas, en comparación con la escuela sin programa activo, lo que sugiere que la pregunta de investigación planteada encuentra respuesta afirmativa, aunque matizada: la inseguridad alimentaria incide en la trayectoria escolar sobre todo a través de la atención y la asistencia, más que de manera directa sobre la calificación.</w:t>
      </w:r>
    </w:p>
    <w:p>
      <w:pPr>
        <w:jc w:val="both"/>
      </w:pPr>
      <w:r>
        <w:t xml:space="preserve">Estas conclusiones deben leerse con las limitaciones propias del diseño del estudio. La muestra de 30 estudiantes en tres escuelas es ilustrativa y no probabilística, por lo que los resultados no pueden generalizarse al conjunto de la matrícula del Noreste de Veracruz ni de otras regiones con características similares. Asimismo, el estudio no controló otras variables que también inciden en la atención y el desempeño escolar, como la calidad de la enseñanza o las condiciones de salud no nutricionales, lo que limita la posibilidad de aislar el efecto específico de la alimentación. Con estas salvedades, el estudio aporta evidencia situada que respalda la relevancia de considerar la seguridad alimentaria escolar como una condición de posibilidad pedagógica en la región, y no únicamente como una política de asistencia social desvinculada de los procesos de aprendizaje.</w:t>
      </w:r>
    </w:p>
    <w:p>
      <w:pPr>
        <w:pStyle w:val="Heading1"/>
      </w:pPr>
      <w:r>
        <w:t xml:space="preserve">7. Líneas futuras de investigación</w:t>
      </w:r>
    </w:p>
    <w:p>
      <w:pPr>
        <w:jc w:val="both"/>
      </w:pPr>
      <w:r>
        <w:t xml:space="preserve">En primer lugar, se sugiere realizar estudios longitudinales que den seguimiento a una cohorte de estudiantes del Noreste de Veracruz a lo largo de varios ciclos escolares, para observar si la irregularidad alimentaria temprana se traduce en mayor riesgo de abandono escolar en la transición a la educación secundaria, en diálogo con los hallazgos de Lechuga Rodríguez (2022) sobre pobreza infantil y deserción.</w:t>
      </w:r>
    </w:p>
    <w:p>
      <w:pPr>
        <w:jc w:val="both"/>
      </w:pPr>
      <w:r>
        <w:t xml:space="preserve">En segundo lugar, dado que este estudio se basó en una muestra ilustrativa y no probabilística, futuras investigaciones podrían ampliar el corpus a un número mayor de escuelas y municipios de la región, incorporando técnicas de muestreo probabilístico que permitan estimar con mayor precisión la magnitud del fenómeno y contrastar estadísticamente las diferencias observadas entre escuelas con distinta cobertura de desayunos escolares.</w:t>
      </w:r>
    </w:p>
    <w:p>
      <w:pPr>
        <w:jc w:val="both"/>
      </w:pPr>
      <w:r>
        <w:t xml:space="preserve">En tercer lugar, se recomienda explorar el papel de los comedores comunitarios gestionados por comités de padres de familia, como el observado en la Escuela B de este estudio, para identificar qué factores organizativos permiten sostener una provisión más regular de alimentos en ausencia de infraestructura institucional permanente, lo que podría orientar políticas de fortalecimiento comunitario complementarias a los programas federales de alimentación escolar en el Noreste de Veracruz.</w:t>
      </w:r>
    </w:p>
    <w:p>
      <w:pPr>
        <w:pStyle w:val="Heading1"/>
      </w:pPr>
      <w:r>
        <w:t xml:space="preserve">Referencias</w:t>
      </w:r>
    </w:p>
    <w:p>
      <w:pPr>
        <w:ind w:left="720" w:hanging="720"/>
        <w:jc w:val="both"/>
      </w:pPr>
      <w:r>
        <w:t xml:space="preserve">CEPAL y UNESCO. (2020). </w:t>
      </w:r>
      <w:r>
        <w:rPr>
          <w:i/>
        </w:rPr>
        <w:t xml:space="preserve">La educación en tiempos de la pandemia de COVID-19</w:t>
      </w:r>
      <w:r>
        <w:t xml:space="preserve">. Comisión Económica para América Latina y el Caribe. https://www.cepal.org/es/publicaciones/45904-la-educacion-tiempos-pandemia-covid-19</w:t>
      </w:r>
    </w:p>
    <w:p>
      <w:pPr>
        <w:ind w:left="720" w:hanging="720"/>
        <w:jc w:val="both"/>
      </w:pPr>
      <w:r>
        <w:t xml:space="preserve">Daza, C. H. (1997). Nutrición infantil y rendimiento escolar. </w:t>
      </w:r>
      <w:r>
        <w:rPr>
          <w:i/>
        </w:rPr>
        <w:t xml:space="preserve">Colombia Médica</w:t>
      </w:r>
      <w:r>
        <w:t xml:space="preserve">, </w:t>
      </w:r>
      <w:r>
        <w:rPr>
          <w:i/>
        </w:rPr>
        <w:t xml:space="preserve">28</w:t>
      </w:r>
      <w:r>
        <w:t xml:space="preserve">(2), 92-98. https://www.redalyc.org/pdf/283/28328208.pdf</w:t>
      </w:r>
    </w:p>
    <w:p>
      <w:pPr>
        <w:ind w:left="720" w:hanging="720"/>
        <w:jc w:val="both"/>
      </w:pPr>
      <w:r>
        <w:t xml:space="preserve">Escudero Chávez, J. D., y Vergara Fregoso, M. (2026). La malnutrición infantil en escolares: un análisis de las políticas implementadas en México y Ecuador. </w:t>
      </w:r>
      <w:r>
        <w:rPr>
          <w:i/>
        </w:rPr>
        <w:t xml:space="preserve">Revista Mexicana de Investigación Educativa</w:t>
      </w:r>
      <w:r>
        <w:t xml:space="preserve">, </w:t>
      </w:r>
      <w:r>
        <w:rPr>
          <w:i/>
        </w:rPr>
        <w:t xml:space="preserve">31</w:t>
      </w:r>
      <w:r>
        <w:t xml:space="preserve">(108). https://www.scielo.org.mx/scielo.php?script=sci_arttext&amp;pid=S1405-66662026000100191</w:t>
      </w:r>
    </w:p>
    <w:p>
      <w:pPr>
        <w:ind w:left="720" w:hanging="720"/>
        <w:jc w:val="both"/>
      </w:pPr>
      <w:r>
        <w:t xml:space="preserve">Lechuga Rodríguez, E. L. (2022). Pobreza infantil y su efecto en la deserción escolar (2002-2018). </w:t>
      </w:r>
      <w:r>
        <w:rPr>
          <w:i/>
        </w:rPr>
        <w:t xml:space="preserve">Ensayos Revista de Economía</w:t>
      </w:r>
      <w:r>
        <w:t xml:space="preserve">, </w:t>
      </w:r>
      <w:r>
        <w:rPr>
          <w:i/>
        </w:rPr>
        <w:t xml:space="preserve">41</w:t>
      </w:r>
      <w:r>
        <w:t xml:space="preserve">(1), 75-100. https://doi.org/10.29105/ensayos41.1-4</w:t>
      </w:r>
    </w:p>
    <w:p>
      <w:pPr>
        <w:ind w:left="720" w:hanging="720"/>
        <w:jc w:val="both"/>
      </w:pPr>
      <w:r>
        <w:t xml:space="preserve">López Galindo, L. I., Aburto Guzmán, C., Cortés Salazar, C. S., y Álvarez Ramírez, M. M. (2020). Carencia alimentaria en municipios de Veracruz (2010 y 2015). </w:t>
      </w:r>
      <w:r>
        <w:rPr>
          <w:i/>
        </w:rPr>
        <w:t xml:space="preserve">UVserva</w:t>
      </w:r>
      <w:r>
        <w:t xml:space="preserve">, (9), 35-46. https://doi.org/10.25009/uvs.vi9.2622</w:t>
      </w:r>
    </w:p>
    <w:p>
      <w:pPr>
        <w:ind w:left="720" w:hanging="720"/>
        <w:jc w:val="both"/>
      </w:pPr>
      <w:r>
        <w:t xml:space="preserve">Sánchez Vargas, A., Naranjo Carbajal, A., y Nava Bolaños, I. (2020). El impacto de la nutrición en las calificaciones escolares a nivel primaria: un estudio del Programa de Desayunos Escolares de la Ciudad de México. </w:t>
      </w:r>
      <w:r>
        <w:rPr>
          <w:i/>
        </w:rPr>
        <w:t xml:space="preserve">Contaduría y Administración</w:t>
      </w:r>
      <w:r>
        <w:t xml:space="preserve">, </w:t>
      </w:r>
      <w:r>
        <w:rPr>
          <w:i/>
        </w:rPr>
        <w:t xml:space="preserve">65</w:t>
      </w:r>
      <w:r>
        <w:t xml:space="preserve">(3). https://doi.org/10.22201/fca.24488410e.2019.2266</w:t>
      </w:r>
    </w:p>
    <w:p>
      <w:pPr>
        <w:ind w:left="720" w:hanging="720"/>
        <w:jc w:val="both"/>
      </w:pPr>
      <w:r>
        <w:t xml:space="preserve">Shamah-Levy, T., Mundo-Rosas, V., y Rivera-Dommarco, J. A. (2014). La magnitud de la inseguridad alimentaria en México: su relación con el estado de nutrición y con factores socioeconómicos. </w:t>
      </w:r>
      <w:r>
        <w:rPr>
          <w:i/>
        </w:rPr>
        <w:t xml:space="preserve">Salud Pública de México</w:t>
      </w:r>
      <w:r>
        <w:t xml:space="preserve">, </w:t>
      </w:r>
      <w:r>
        <w:rPr>
          <w:i/>
        </w:rPr>
        <w:t xml:space="preserve">56</w:t>
      </w:r>
      <w:r>
        <w:t xml:space="preserve">(Supl. 1). https://www.scielo.org.mx/scielo.php?script=sci_arttext&amp;pid=S0036-36342014000700012</w:t>
      </w:r>
    </w:p>
    <w:p>
      <w:pPr>
        <w:ind w:left="720" w:hanging="720"/>
        <w:jc w:val="both"/>
      </w:pPr>
      <w:r>
        <w:t xml:space="preserve">Uriostegui Santiaguillo, L. A. (2021). Fundamentos teóricos que sustentan el desarrollo de un protocolo de investigación para el abordaje de la desnutrición y la repercusión en el desarrollo del conocimiento, en niños de jardín de niños. </w:t>
      </w:r>
      <w:r>
        <w:rPr>
          <w:i/>
        </w:rPr>
        <w:t xml:space="preserve">Dilemas Contemporáneos: Educación, Política y Valores</w:t>
      </w:r>
      <w:r>
        <w:t xml:space="preserve">, </w:t>
      </w:r>
      <w:r>
        <w:rPr>
          <w:i/>
        </w:rPr>
        <w:t xml:space="preserve">8</w:t>
      </w:r>
      <w:r>
        <w:t xml:space="preserve">(2). https://doi.org/10.46377/dilemas.v8i2.2518</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Inseguridad alimentaria y trayectoria escolar: la desnutrición infantil como determinante silencioso en primarias del Noreste de Veracruz</dc:title>
  <dc:creator>Claude</dc:creator>
  <cp:lastModifiedBy>Claude</cp:lastModifiedBy>
  <dcterms:created xsi:type="dcterms:W3CDTF">2026-08-25T00:00:00Z</dcterms:created>
  <dcterms:modified xsi:type="dcterms:W3CDTF">2026-08-25T00:00:00Z</dcterms:modified>
</cp:coreProperties>
</file>