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Justicia epistémica en el aula: diálogo de saberes en telebachilleratos comunitarios de la Mixteca de Oaxaca</w:t>
      </w:r>
    </w:p>
    <w:p>
      <w:pPr>
        <w:jc w:val="center"/>
        <w:spacing w:after="240"/>
      </w:pPr>
      <w:r>
        <w:rPr>
          <w:b/>
          <w:i/>
          <w:sz w:val="26"/>
          <w:szCs w:val="26"/>
        </w:rPr>
        <w:t xml:space="preserve">Epistemic Justice in the Classroom: Dialogue of Knowledges in Community Telebachilleratos of the Mixteca of Oaxaca</w:t>
      </w:r>
    </w:p>
    <w:p>
      <w:pPr>
        <w:jc w:val="both"/>
      </w:pPr>
      <w:r>
        <w:rPr>
          <w:b/>
        </w:rPr>
        <w:t xml:space="preserve">Resumen. </w:t>
      </w:r>
      <w:r>
        <w:t xml:space="preserve">Este artículo analiza de qué manera los docentes de telebachilleratos comunitarios de la Mixteca de Oaxaca incorporan los saberes comunitarios en su práctica y qué obstáculos curriculares y lingüísticos limitan ese diálogo de saberes, desde una perspectiva de interculturalidad crítica. Frente a un modelo de educación media superior diseñado para zonas rurales dispersas, pero con un currículo homogéneo, el estudio examina cómo se negocia en el aula la relación entre el programa oficial y los conocimientos de las comunidades ñuu savi. Se adoptó un enfoque cualitativo mediante un estudio de caso múltiple en seis planteles en Tlaxiaco, Nochixtlán, Silacayoapam, Coixtlahuaca, Huajuapan de León y Tezoatlán, con corpus de dieciocho entrevistas semiestructuradas a docentes, doce planeaciones didácticas y seis observaciones de clase. El análisis se organizó en cuatro categorías: reconocimiento de saberes comunitarios en la planeación, uso de la lengua tu'un savi en el aula, jerarquías curriculares entre programa oficial y saberes locales, y vínculo con las autoridades comunitarias. Los resultados, datos ilustrativos con fines académicos, muestran que los saberes comunitarios aparecen en menos de la mitad de las planeaciones, que el uso de la lengua originaria es un recurso de apoyo y no un vehículo de enseñanza, y que la asamblea comunitaria constituye el principal soporte de las experiencias de diálogo. Se concluye que el diálogo de saberes existe como práctica docente situada, pero su alcance depende de la iniciativa individual y no de un diseño curricular que lo garantice.</w:t>
      </w:r>
    </w:p>
    <w:p>
      <w:pPr>
        <w:jc w:val="both"/>
      </w:pPr>
      <w:r>
        <w:rPr>
          <w:b/>
        </w:rPr>
        <w:t xml:space="preserve">Palabras clave:</w:t>
      </w:r>
      <w:r>
        <w:t xml:space="preserve"> interculturalidad crítica, justicia epistémica, telebachillerato comunitario</w:t>
      </w:r>
    </w:p>
    <w:p>
      <w:pPr>
        <w:jc w:val="both"/>
      </w:pPr>
      <w:r>
        <w:rPr>
          <w:b/>
        </w:rPr>
        <w:t xml:space="preserve">Abstract. </w:t>
      </w:r>
      <w:r>
        <w:t xml:space="preserve">This article analyzes how teachers in community telebachilleratos of the Mixteca of Oaxaca incorporate community knowledge into their practice, and which curricular and linguistic obstacles limit that dialogue of knowledges in practice, from a critical interculturality perspective. Faced with an upper secondary education model designed for dispersed rural areas but built on a homogeneous curriculum, the study examines how the relationship between the official program and the knowledge of the ñuu savi communities is negotiated in the classroom. A qualitative approach was adopted through a multiple case study in six schools located in Tlaxiaco, Nochixtlán, Silacayoapam, Coixtlahuaca, Huajuapan de León, and Tezoatlán, with a total corpus of eighteen semi-structured teacher interviews, twelve lesson plans, and six classroom observations. The analysis was organized into four categories: recognition of community knowledge in planning, use of the tu'un savi language in the classroom, curricular hierarchies between the official program and local knowledge, and links with community authorities. The results, illustrative data for academic purposes, show that community knowledge appears in fewer than half of the lesson plans, that the use of the indigenous language is mostly a support resource rather than a vehicle of instruction, and that the community assembly is the main institutional support of the dialogue experiences documented. It is concluded that the dialogue of knowledges exists as a situated teaching practice in these schools, but its reach depends on individual initiative rather than on a curricular design that guarantees it.</w:t>
      </w:r>
    </w:p>
    <w:p>
      <w:pPr>
        <w:jc w:val="both"/>
      </w:pPr>
      <w:r>
        <w:rPr>
          <w:b/>
        </w:rPr>
        <w:t xml:space="preserve">Keywords:</w:t>
      </w:r>
      <w:r>
        <w:t xml:space="preserve"> critical interculturality, epistemic justice, community telebachillerato</w:t>
      </w:r>
    </w:p>
    <w:p>
      <w:pPr>
        <w:pStyle w:val="Heading1"/>
      </w:pPr>
      <w:r>
        <w:t xml:space="preserve">1. Introducción</w:t>
      </w:r>
    </w:p>
    <w:p>
      <w:pPr>
        <w:jc w:val="both"/>
      </w:pPr>
      <w:r>
        <w:t xml:space="preserve">La expansión de la educación media superior en el medio rural mexicano ha seguido, durante la última década, una lógica de cobertura: llevar un plantel a localidades donde antes los jóvenes debían abandonar sus comunidades para continuar estudiando. El telebachillerato comunitario es la expresión más visible de esa lógica. Opera con un número reducido de docentes que atienden todas las asignaturas, se apoya en materiales audiovisuales y se aloja con frecuencia en espacios facilitados por la propia comunidad. En regiones de fuerte presencia indígena, como la Mixteca de Oaxaca, esa expansión plantea una pregunta que rebasa el acceso: qué conocimientos circulan en esas aulas y cuáles quedan fuera de ellas.</w:t>
      </w:r>
    </w:p>
    <w:p>
      <w:pPr>
        <w:jc w:val="both"/>
      </w:pPr>
      <w:r>
        <w:t xml:space="preserve">La Mixteca oaxaqueña es un territorio de historia larga y de profundas desigualdades contemporáneas. Sus comunidades ñuu savi, el pueblo de la lluvia, conservan formas de organización comunitaria, sistemas de cargos, calendarios agrícolas y una lengua, el tu'un savi, con variantes tonales que cambian de una zona a otra. La migración de jóvenes hacia otras regiones del país y hacia el extranjero, la erosión de los suelos y la fragilidad de la agricultura de temporal configuran un contexto en el que la escuela puede reforzar el arraigo o acelerar la salida. Que el currículo del bachillerato reconozca o ignore los saberes de la comunidad no es, por lo tanto, un asunto menor de forma pedagógica, sino una decisión con efectos sobre la identidad y las trayectorias de los jóvenes.</w:t>
      </w:r>
    </w:p>
    <w:p>
      <w:pPr>
        <w:jc w:val="both"/>
      </w:pPr>
      <w:r>
        <w:t xml:space="preserve">La literatura reciente ha señalado que los telebachilleratos comunitarios amplían el acceso y fortalecen los vínculos con la comunidad, pero pueden reproducir jerarquías lingüísticas y curriculares que limitan el reconocimiento de los saberes locales (Rivero Manzanilla y Pinto Sosa, 2026). Ese hallazgo, documentado en una comunidad maya de Yucatán, invita a preguntar si la misma tensión se presenta en otros territorios indígenas y qué prácticas docentes la atenúan. En Oaxaca, además, existe una tradición propia de educación comunitaria, construida por maestros e intelectuales indígenas y reconocida en documentos oficiales, que ofrece un punto de comparación para evaluar los alcances de un modelo de bachillerato que nació con otro propósito (Maldonado Alvarado y Maldonado Ramírez, 2018).</w:t>
      </w:r>
    </w:p>
    <w:p>
      <w:pPr>
        <w:jc w:val="both"/>
      </w:pPr>
      <w:r>
        <w:t xml:space="preserve">El problema que aborda este artículo puede formularse así: en los telebachilleratos comunitarios de la Mixteca, el currículo oficial es único, pero las comunidades que lo reciben no lo son. Los docentes, que suelen ser jóvenes profesionistas con formación disciplinar diversa y poca preparación específica en educación intercultural, quedan en una posición de mediación. Cada decisión de planeación, cada ejemplo elegido y cada lengua empleada en la explicación expresa una apuesta sobre qué conocimiento merece ocupar el centro del aula. Documentar esas decisiones permite comprender si el diálogo de saberes es una práctica efectiva o una consigna presente en el discurso institucional pero ausente del trabajo cotidiano.</w:t>
      </w:r>
    </w:p>
    <w:p>
      <w:pPr>
        <w:jc w:val="both"/>
      </w:pPr>
      <w:r>
        <w:t xml:space="preserve">La justificación del estudio es doble. Desde el punto de vista académico, contribuye a la discusión sobre interculturalidad en la educación media superior, un nivel menos explorado que la educación básica indígena. Desde el punto de vista social, ofrece evidencia situada para que las autoridades educativas y las propias comunidades dispongan de elementos al decidir cómo apoyar a los docentes que sostienen estos planteles.</w:t>
      </w:r>
    </w:p>
    <w:p>
      <w:pPr>
        <w:jc w:val="both"/>
      </w:pPr>
      <w:r>
        <w:t xml:space="preserve">El objetivo general de este artículo es analizar las formas en que los docentes de telebachilleratos comunitarios de la Mixteca de Oaxaca incorporan los saberes comunitarios en su práctica y los obstáculos curriculares y lingüísticos que limitan ese diálogo de saberes. Dado el carácter cualitativo del diseño, el estudio no formula una hipótesis, sino la siguiente pregunta de investigación: ¿de qué manera los docentes de telebachilleratos comunitarios de la Mixteca de Oaxaca incorporan los saberes comunitarios en su práctica y qué obstáculos curriculares y lingüísticos limitan ese diálogo de saberes? Ese objetivo y esa pregunta se retoman en los resultados, la discusión y las conclusiones.</w:t>
      </w:r>
    </w:p>
    <w:p>
      <w:pPr>
        <w:jc w:val="both"/>
      </w:pPr>
      <w:r>
        <w:t xml:space="preserve">El texto se organiza en siete apartados. Tras esta introducción, se revisa el marco teórico sobre interculturalidad crítica, justicia epistémica y educación comunitaria. Después se describe la metodología, se presentan los resultados por categorías, se discuten a la luz de la literatura y se cierra con conclusiones y líneas futuras de investigación.</w:t>
      </w:r>
    </w:p>
    <w:p>
      <w:pPr>
        <w:pStyle w:val="Heading1"/>
      </w:pPr>
      <w:r>
        <w:t xml:space="preserve">2. Fundamentación teórica</w:t>
      </w:r>
    </w:p>
    <w:p>
      <w:pPr>
        <w:pStyle w:val="Heading2"/>
      </w:pPr>
      <w:r>
        <w:t xml:space="preserve">2.1. Interculturalidad funcional y crítica</w:t>
      </w:r>
    </w:p>
    <w:p>
      <w:pPr>
        <w:jc w:val="both"/>
      </w:pPr>
      <w:r>
        <w:t xml:space="preserve">El término interculturalidad se ha usado con sentidos muy distintos en las políticas educativas latinoamericanas. Walsh (2010) distingue una interculturalidad relacional, que se limita a reconocer el contacto entre culturas, una interculturalidad funcional, que reconoce la diversidad pero la incorpora a las estructuras existentes sin cuestionarlas, y una interculturalidad crítica, que parte de la diferencia y de las estructuras coloniales de poder que la producen para transformarlas. Para la autora, la interculturalidad crítica es una herramienta, un proceso y un proyecto, no un estado alcanzado, y se construye desde abajo, desde las experiencias de los grupos subalternizados.</w:t>
      </w:r>
    </w:p>
    <w:p>
      <w:pPr>
        <w:jc w:val="both"/>
      </w:pPr>
      <w:r>
        <w:t xml:space="preserve">Esta distinción tiene consecuencias analíticas directas para el estudio de una escuela. Una escuela que añade una unidad sobre festividades locales a un programa que permanece intacto practica una interculturalidad funcional. Una escuela que pregunta por qué el conocimiento de la comunidad ocupa un lugar marginal y reorganiza la planeación para modificar esa jerarquía se acerca a la interculturalidad crítica. La pregunta de investigación de este artículo se sitúa precisamente en la frontera entre ambas posibilidades.</w:t>
      </w:r>
    </w:p>
    <w:p>
      <w:pPr>
        <w:pStyle w:val="Heading2"/>
      </w:pPr>
      <w:r>
        <w:t xml:space="preserve">2.2. Interculturalidad y educación comunitaria en Oaxaca</w:t>
      </w:r>
    </w:p>
    <w:p>
      <w:pPr>
        <w:jc w:val="both"/>
      </w:pPr>
      <w:r>
        <w:t xml:space="preserve">Oaxaca cuenta con una trayectoria propia en la construcción de una educación pertinente a sus pueblos. Maldonado Alvarado y Maldonado Ramírez (2018) muestran que, en este estado, la interculturalidad ha adoptado una forma comunitaria gracias al trabajo de maestros e intelectuales indígenas, que sus avances están garantizados en documentos oficiales y que se concretaron en el siglo XXI en instituciones especializadas y en el diseño de un modelo educativo comunitario. Los autores advierten, además, que estas experiencias enfrentan obstáculos actuales y plantean una mirada crítica sobre la gestión del conocimiento comunitario. De su argumento se desprende una idea relevante para este estudio: no puede haber diálogo entre desiguales cuando la relación entre ellos es de dominación, de modo que el diálogo de saberes exige modificar las condiciones institucionales en que se produce.</w:t>
      </w:r>
    </w:p>
    <w:p>
      <w:pPr>
        <w:pStyle w:val="Heading2"/>
      </w:pPr>
      <w:r>
        <w:t xml:space="preserve">2.3. Apropiación escolar y jóvenes indígenas</w:t>
      </w:r>
    </w:p>
    <w:p>
      <w:pPr>
        <w:jc w:val="both"/>
      </w:pPr>
      <w:r>
        <w:t xml:space="preserve">González Apodaca (2013) estudió un bachillerato en una comunidad mixe de Oaxaca desde la categoría de apropiación étnica de la escuela y adoptó un concepto de interculturalidad conflictiva para dar cuenta de las dimensiones pedagógica y política de estos proyectos. Su trabajo, basado en un estudio de caso etnográfico y en la mirada de los jóvenes, ilustra que la escuela no es un espacio neutral que recibe pasivamente la cultura comunitaria. Es un territorio de disputa donde se negocian identidades, expectativas y proyectos colectivos. Esta perspectiva aporta a la presente investigación la advertencia de que los saberes comunitarios no se incorporan por simple decisión técnica, sino a través de tensiones que involucran a docentes, estudiantes y autoridades locales.</w:t>
      </w:r>
    </w:p>
    <w:p>
      <w:pPr>
        <w:pStyle w:val="Heading2"/>
      </w:pPr>
      <w:r>
        <w:t xml:space="preserve">2.4. Justicia epistémica y telebachillerato comunitario</w:t>
      </w:r>
    </w:p>
    <w:p>
      <w:pPr>
        <w:jc w:val="both"/>
      </w:pPr>
      <w:r>
        <w:t xml:space="preserve">Rivero Manzanilla y Pinto Sosa (2026) analizan el telebachillerato comunitario de Mayapán, en Yucatán, mediante una etnografía educativa de enfoque decolonial. Sus resultados indican que estos planteles ofrecen acceso a la educación y refuerzan los lazos comunitarios, pero reproducen jerarquías lingüísticas y curriculares que impiden reconocer plenamente los saberes locales. Los autores proponen transitar de un currículo homogeneizador hacia uno diversificado que garantice a las comunidades históricamente marginadas la participación en la producción de conocimiento. La noción de justicia epistémica, entendida como el reconocimiento de que los conocimientos de los pueblos son válidos y merecen un lugar en el currículo, ofrece así un criterio para evaluar la práctica docente en la Mixteca.</w:t>
      </w:r>
    </w:p>
    <w:p>
      <w:pPr>
        <w:pStyle w:val="Heading2"/>
      </w:pPr>
      <w:r>
        <w:t xml:space="preserve">2.5. Tabla comparativa de los marcos de referencia</w:t>
      </w:r>
    </w:p>
    <w:p>
      <w:pPr>
        <w:jc w:val="both"/>
      </w:pPr>
      <w:r>
        <w:t xml:space="preserve">Los enfoques revisados pueden sintetizarse en función de lo que cada uno aporta a la lectura de la práctica docente en el telebachillerato comunitario.</w:t>
      </w:r>
    </w:p>
    <w:p>
      <w:pPr>
        <w:jc w:val="center"/>
        <w:spacing w:after="80"/>
      </w:pPr>
      <w:r>
        <w:rPr>
          <w:b/>
          <w:sz w:val="20"/>
          <w:szCs w:val="20"/>
        </w:rPr>
        <w:t xml:space="preserve">Tabla 1. Síntesis de los marcos teóricos que orientan el análisis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Fuente</w:t>
            </w:r>
          </w:p>
        </w:tc>
        <w:tc>
          <w:tcPr>
            <w:tcW w:w="3120" w:type="dxa"/>
            <w:shd w:val="clear" w:color="auto" w:fill="D6EAF8"/>
            <w:vAlign w:val="center"/>
          </w:tcPr>
          <w:p>
            <w:pPr>
              <w:jc w:val="center"/>
            </w:pPr>
            <w:r>
              <w:rPr>
                <w:b/>
                <w:sz w:val="20"/>
                <w:szCs w:val="20"/>
              </w:rPr>
              <w:t xml:space="preserve">Contexto estudiado</w:t>
            </w:r>
          </w:p>
        </w:tc>
        <w:tc>
          <w:tcPr>
            <w:tcW w:w="3120" w:type="dxa"/>
            <w:shd w:val="clear" w:color="auto" w:fill="D6EAF8"/>
            <w:vAlign w:val="center"/>
          </w:tcPr>
          <w:p>
            <w:pPr>
              <w:jc w:val="center"/>
            </w:pPr>
            <w:r>
              <w:rPr>
                <w:b/>
                <w:sz w:val="20"/>
                <w:szCs w:val="20"/>
              </w:rPr>
              <w:t xml:space="preserve">Aporte analítico para este estudio</w:t>
            </w:r>
          </w:p>
        </w:tc>
      </w:tr>
      <w:tr>
        <w:tc>
          <w:tcPr>
            <w:tcW w:w="3120" w:type="dxa"/>
            <w:shd w:val="clear" w:color="auto" w:fill="F4F8FB"/>
            <w:vAlign w:val="center"/>
          </w:tcPr>
          <w:p>
            <w:pPr>
              <w:jc w:val="left"/>
            </w:pPr>
            <w:r>
              <w:rPr>
                <w:sz w:val="20"/>
                <w:szCs w:val="20"/>
              </w:rPr>
              <w:t xml:space="preserve">Walsh (2010)</w:t>
            </w:r>
          </w:p>
        </w:tc>
        <w:tc>
          <w:tcPr>
            <w:tcW w:w="3120" w:type="dxa"/>
            <w:shd w:val="clear" w:color="auto" w:fill="F4F8FB"/>
            <w:vAlign w:val="center"/>
          </w:tcPr>
          <w:p>
            <w:pPr>
              <w:jc w:val="center"/>
            </w:pPr>
            <w:r>
              <w:rPr>
                <w:sz w:val="20"/>
                <w:szCs w:val="20"/>
              </w:rPr>
              <w:t xml:space="preserve">América Latina</w:t>
            </w:r>
          </w:p>
        </w:tc>
        <w:tc>
          <w:tcPr>
            <w:tcW w:w="3120" w:type="dxa"/>
            <w:shd w:val="clear" w:color="auto" w:fill="F4F8FB"/>
            <w:vAlign w:val="center"/>
          </w:tcPr>
          <w:p>
            <w:pPr>
              <w:jc w:val="center"/>
            </w:pPr>
            <w:r>
              <w:rPr>
                <w:sz w:val="20"/>
                <w:szCs w:val="20"/>
              </w:rPr>
              <w:t xml:space="preserve">Distinción entre interculturalidad relacional, funcional y crítica</w:t>
            </w:r>
          </w:p>
        </w:tc>
      </w:tr>
      <w:tr>
        <w:tc>
          <w:tcPr>
            <w:tcW w:w="3120" w:type="dxa"/>
            <w:shd w:val="clear" w:color="auto" w:fill="FFFFFF"/>
            <w:vAlign w:val="center"/>
          </w:tcPr>
          <w:p>
            <w:pPr>
              <w:jc w:val="left"/>
            </w:pPr>
            <w:r>
              <w:rPr>
                <w:sz w:val="20"/>
                <w:szCs w:val="20"/>
              </w:rPr>
              <w:t xml:space="preserve">Maldonado Alvarado y Maldonado Ramírez (2018)</w:t>
            </w:r>
          </w:p>
        </w:tc>
        <w:tc>
          <w:tcPr>
            <w:tcW w:w="3120" w:type="dxa"/>
            <w:shd w:val="clear" w:color="auto" w:fill="FFFFFF"/>
            <w:vAlign w:val="center"/>
          </w:tcPr>
          <w:p>
            <w:pPr>
              <w:jc w:val="center"/>
            </w:pPr>
            <w:r>
              <w:rPr>
                <w:sz w:val="20"/>
                <w:szCs w:val="20"/>
              </w:rPr>
              <w:t xml:space="preserve">Oaxaca</w:t>
            </w:r>
          </w:p>
        </w:tc>
        <w:tc>
          <w:tcPr>
            <w:tcW w:w="3120" w:type="dxa"/>
            <w:shd w:val="clear" w:color="auto" w:fill="FFFFFF"/>
            <w:vAlign w:val="center"/>
          </w:tcPr>
          <w:p>
            <w:pPr>
              <w:jc w:val="center"/>
            </w:pPr>
            <w:r>
              <w:rPr>
                <w:sz w:val="20"/>
                <w:szCs w:val="20"/>
              </w:rPr>
              <w:t xml:space="preserve">Forma comunitaria de la interculturalidad y condiciones del diálogo</w:t>
            </w:r>
          </w:p>
        </w:tc>
      </w:tr>
      <w:tr>
        <w:tc>
          <w:tcPr>
            <w:tcW w:w="3120" w:type="dxa"/>
            <w:shd w:val="clear" w:color="auto" w:fill="F4F8FB"/>
            <w:vAlign w:val="center"/>
          </w:tcPr>
          <w:p>
            <w:pPr>
              <w:jc w:val="left"/>
            </w:pPr>
            <w:r>
              <w:rPr>
                <w:sz w:val="20"/>
                <w:szCs w:val="20"/>
              </w:rPr>
              <w:t xml:space="preserve">González Apodaca (2013)</w:t>
            </w:r>
          </w:p>
        </w:tc>
        <w:tc>
          <w:tcPr>
            <w:tcW w:w="3120" w:type="dxa"/>
            <w:shd w:val="clear" w:color="auto" w:fill="F4F8FB"/>
            <w:vAlign w:val="center"/>
          </w:tcPr>
          <w:p>
            <w:pPr>
              <w:jc w:val="center"/>
            </w:pPr>
            <w:r>
              <w:rPr>
                <w:sz w:val="20"/>
                <w:szCs w:val="20"/>
              </w:rPr>
              <w:t xml:space="preserve">Bachillerato mixe, Oaxaca</w:t>
            </w:r>
          </w:p>
        </w:tc>
        <w:tc>
          <w:tcPr>
            <w:tcW w:w="3120" w:type="dxa"/>
            <w:shd w:val="clear" w:color="auto" w:fill="F4F8FB"/>
            <w:vAlign w:val="center"/>
          </w:tcPr>
          <w:p>
            <w:pPr>
              <w:jc w:val="center"/>
            </w:pPr>
            <w:r>
              <w:rPr>
                <w:sz w:val="20"/>
                <w:szCs w:val="20"/>
              </w:rPr>
              <w:t xml:space="preserve">Apropiación étnica de la escuela e interculturalidad conflictiva</w:t>
            </w:r>
          </w:p>
        </w:tc>
      </w:tr>
      <w:tr>
        <w:tc>
          <w:tcPr>
            <w:tcW w:w="3120" w:type="dxa"/>
            <w:shd w:val="clear" w:color="auto" w:fill="FFFFFF"/>
            <w:vAlign w:val="center"/>
          </w:tcPr>
          <w:p>
            <w:pPr>
              <w:jc w:val="left"/>
            </w:pPr>
            <w:r>
              <w:rPr>
                <w:sz w:val="20"/>
                <w:szCs w:val="20"/>
              </w:rPr>
              <w:t xml:space="preserve">Rivero Manzanilla y Pinto Sosa (2026)</w:t>
            </w:r>
          </w:p>
        </w:tc>
        <w:tc>
          <w:tcPr>
            <w:tcW w:w="3120" w:type="dxa"/>
            <w:shd w:val="clear" w:color="auto" w:fill="FFFFFF"/>
            <w:vAlign w:val="center"/>
          </w:tcPr>
          <w:p>
            <w:pPr>
              <w:jc w:val="center"/>
            </w:pPr>
            <w:r>
              <w:rPr>
                <w:sz w:val="20"/>
                <w:szCs w:val="20"/>
              </w:rPr>
              <w:t xml:space="preserve">Telebachillerato comunitario, Yucatán</w:t>
            </w:r>
          </w:p>
        </w:tc>
        <w:tc>
          <w:tcPr>
            <w:tcW w:w="3120" w:type="dxa"/>
            <w:shd w:val="clear" w:color="auto" w:fill="FFFFFF"/>
            <w:vAlign w:val="center"/>
          </w:tcPr>
          <w:p>
            <w:pPr>
              <w:jc w:val="center"/>
            </w:pPr>
            <w:r>
              <w:rPr>
                <w:sz w:val="20"/>
                <w:szCs w:val="20"/>
              </w:rPr>
              <w:t xml:space="preserve">Jerarquías lingüísticas y curriculares; justicia epistémica</w:t>
            </w:r>
          </w:p>
        </w:tc>
      </w:tr>
    </w:tbl>
    <w:p>
      <w:pPr>
        <w:spacing w:after="200"/>
      </w:pPr>
    </w:p>
    <w:p>
      <w:pPr>
        <w:pStyle w:val="Heading2"/>
      </w:pPr>
      <w:r>
        <w:t xml:space="preserve">2.6. Hacia un marco de análisis</w:t>
      </w:r>
    </w:p>
    <w:p>
      <w:pPr>
        <w:jc w:val="both"/>
      </w:pPr>
      <w:r>
        <w:t xml:space="preserve">Del conjunto de lecturas se derivan cuatro dimensiones que ordenan el análisis empírico: el lugar que ocupan los saberes comunitarios en la planeación, el papel de la lengua originaria en la enseñanza, la jerarquía entre el programa oficial y el conocimiento local, y la relación del plantel con las autoridades y la asamblea de la comunidad. Estas dimensiones corresponden a las categorías de análisis que se describen en la metodología.</w:t>
      </w:r>
    </w:p>
    <w:p>
      <w:pPr>
        <w:pStyle w:val="Heading1"/>
      </w:pPr>
      <w:r>
        <w:t xml:space="preserve">3. Metodología</w:t>
      </w:r>
    </w:p>
    <w:p>
      <w:pPr>
        <w:pStyle w:val="Heading2"/>
      </w:pPr>
      <w:r>
        <w:t xml:space="preserve">3.1. Enfoque y diseño</w:t>
      </w:r>
    </w:p>
    <w:p>
      <w:pPr>
        <w:jc w:val="both"/>
      </w:pPr>
      <w:r>
        <w:t xml:space="preserve">La investigación se plantea desde un enfoque cualitativo, adecuado para comprender cómo los docentes interpretan y resuelven en la práctica la relación entre un currículo oficial y los saberes de las comunidades. El diseño es un estudio de caso múltiple, en el que cada plantel constituye una unidad de análisis y la comparación entre unidades permite identificar regularidades y diferencias. Congruente con este enfoque, el estudio no contrasta hipótesis ni emplea pruebas estadísticas inferenciales, sino que describe y relaciona patrones a partir de la evidencia recogida.</w:t>
      </w:r>
    </w:p>
    <w:p>
      <w:pPr>
        <w:pStyle w:val="Heading2"/>
      </w:pPr>
      <w:r>
        <w:t xml:space="preserve">3.2. Contexto territorial y participantes</w:t>
      </w:r>
    </w:p>
    <w:p>
      <w:pPr>
        <w:jc w:val="both"/>
      </w:pPr>
      <w:r>
        <w:t xml:space="preserve">El estudio se sitúa en la Mixteca de Oaxaca, región de montaña con localidades dispersas, fuerte migración y predominio de la agricultura de temporal. Se seleccionaron de manera intencional seis planteles de telebachillerato comunitario, uno en cada una de seis cabeceras o municipios de influencia: Tlaxiaco, Nochixtlán, Silacayoapam, Coixtlahuaca, Huajuapan de León y Tezoatlán. El criterio de selección fue que los planteles se ubicaran en comunidades con presencia reconocida de hablantes de tu'un savi y que contaran con al menos dos docentes en funciones durante el ciclo escolar de referencia. La muestra es intencional y no probabilística, de modo que sus resultados no pretenden representar a todos los telebachilleratos de la región.</w:t>
      </w:r>
    </w:p>
    <w:p>
      <w:pPr>
        <w:jc w:val="both"/>
      </w:pPr>
      <w:r>
        <w:t xml:space="preserve">El corpus se compone de dieciocho entrevistas semiestructuradas a docentes, con tres docentes por plantel, doce planeaciones didácticas, con dos por plantel, y seis observaciones de clase, una por plantel. Todas las cifras de este artículo son datos ilustrativos con fines académicos.</w:t>
      </w:r>
    </w:p>
    <w:p>
      <w:pPr>
        <w:jc w:val="center"/>
        <w:spacing w:after="80"/>
      </w:pPr>
      <w:r>
        <w:rPr>
          <w:b/>
          <w:sz w:val="20"/>
          <w:szCs w:val="20"/>
        </w:rPr>
        <w:t xml:space="preserve">Tabla 2. Composición ilustrativa del corpus por plantel y tipo de fuente</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Municipio</w:t>
            </w:r>
          </w:p>
        </w:tc>
        <w:tc>
          <w:tcPr>
            <w:tcW w:w="2340" w:type="dxa"/>
            <w:shd w:val="clear" w:color="auto" w:fill="D6EAF8"/>
            <w:vAlign w:val="center"/>
          </w:tcPr>
          <w:p>
            <w:pPr>
              <w:jc w:val="center"/>
            </w:pPr>
            <w:r>
              <w:rPr>
                <w:b/>
                <w:sz w:val="20"/>
                <w:szCs w:val="20"/>
              </w:rPr>
              <w:t xml:space="preserve">Entrevistas a docentes</w:t>
            </w:r>
          </w:p>
        </w:tc>
        <w:tc>
          <w:tcPr>
            <w:tcW w:w="2340" w:type="dxa"/>
            <w:shd w:val="clear" w:color="auto" w:fill="D6EAF8"/>
            <w:vAlign w:val="center"/>
          </w:tcPr>
          <w:p>
            <w:pPr>
              <w:jc w:val="center"/>
            </w:pPr>
            <w:r>
              <w:rPr>
                <w:b/>
                <w:sz w:val="20"/>
                <w:szCs w:val="20"/>
              </w:rPr>
              <w:t xml:space="preserve">Planeaciones analizadas</w:t>
            </w:r>
          </w:p>
        </w:tc>
        <w:tc>
          <w:tcPr>
            <w:tcW w:w="2340" w:type="dxa"/>
            <w:shd w:val="clear" w:color="auto" w:fill="D6EAF8"/>
            <w:vAlign w:val="center"/>
          </w:tcPr>
          <w:p>
            <w:pPr>
              <w:jc w:val="center"/>
            </w:pPr>
            <w:r>
              <w:rPr>
                <w:b/>
                <w:sz w:val="20"/>
                <w:szCs w:val="20"/>
              </w:rPr>
              <w:t xml:space="preserve">Observaciones de clase</w:t>
            </w:r>
          </w:p>
        </w:tc>
      </w:tr>
      <w:tr>
        <w:tc>
          <w:tcPr>
            <w:tcW w:w="2340" w:type="dxa"/>
            <w:shd w:val="clear" w:color="auto" w:fill="F4F8FB"/>
            <w:vAlign w:val="center"/>
          </w:tcPr>
          <w:p>
            <w:pPr>
              <w:jc w:val="left"/>
            </w:pPr>
            <w:r>
              <w:rPr>
                <w:sz w:val="20"/>
                <w:szCs w:val="20"/>
              </w:rPr>
              <w:t xml:space="preserve">Tlaxiaco</w:t>
            </w:r>
          </w:p>
        </w:tc>
        <w:tc>
          <w:tcPr>
            <w:tcW w:w="2340" w:type="dxa"/>
            <w:shd w:val="clear" w:color="auto" w:fill="F4F8FB"/>
            <w:vAlign w:val="center"/>
          </w:tcPr>
          <w:p>
            <w:pPr>
              <w:jc w:val="center"/>
            </w:pPr>
            <w:r>
              <w:rPr>
                <w:sz w:val="20"/>
                <w:szCs w:val="20"/>
              </w:rPr>
              <w:t xml:space="preserve">3</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1</w:t>
            </w:r>
          </w:p>
        </w:tc>
      </w:tr>
      <w:tr>
        <w:tc>
          <w:tcPr>
            <w:tcW w:w="2340" w:type="dxa"/>
            <w:shd w:val="clear" w:color="auto" w:fill="FFFFFF"/>
            <w:vAlign w:val="center"/>
          </w:tcPr>
          <w:p>
            <w:pPr>
              <w:jc w:val="left"/>
            </w:pPr>
            <w:r>
              <w:rPr>
                <w:sz w:val="20"/>
                <w:szCs w:val="20"/>
              </w:rPr>
              <w:t xml:space="preserve">Nochixtlán</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1</w:t>
            </w:r>
          </w:p>
        </w:tc>
      </w:tr>
      <w:tr>
        <w:tc>
          <w:tcPr>
            <w:tcW w:w="2340" w:type="dxa"/>
            <w:shd w:val="clear" w:color="auto" w:fill="F4F8FB"/>
            <w:vAlign w:val="center"/>
          </w:tcPr>
          <w:p>
            <w:pPr>
              <w:jc w:val="left"/>
            </w:pPr>
            <w:r>
              <w:rPr>
                <w:sz w:val="20"/>
                <w:szCs w:val="20"/>
              </w:rPr>
              <w:t xml:space="preserve">Silacayoapam</w:t>
            </w:r>
          </w:p>
        </w:tc>
        <w:tc>
          <w:tcPr>
            <w:tcW w:w="2340" w:type="dxa"/>
            <w:shd w:val="clear" w:color="auto" w:fill="F4F8FB"/>
            <w:vAlign w:val="center"/>
          </w:tcPr>
          <w:p>
            <w:pPr>
              <w:jc w:val="center"/>
            </w:pPr>
            <w:r>
              <w:rPr>
                <w:sz w:val="20"/>
                <w:szCs w:val="20"/>
              </w:rPr>
              <w:t xml:space="preserve">3</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1</w:t>
            </w:r>
          </w:p>
        </w:tc>
      </w:tr>
      <w:tr>
        <w:tc>
          <w:tcPr>
            <w:tcW w:w="2340" w:type="dxa"/>
            <w:shd w:val="clear" w:color="auto" w:fill="FFFFFF"/>
            <w:vAlign w:val="center"/>
          </w:tcPr>
          <w:p>
            <w:pPr>
              <w:jc w:val="left"/>
            </w:pPr>
            <w:r>
              <w:rPr>
                <w:sz w:val="20"/>
                <w:szCs w:val="20"/>
              </w:rPr>
              <w:t xml:space="preserve">Coixtlahuaca</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1</w:t>
            </w:r>
          </w:p>
        </w:tc>
      </w:tr>
      <w:tr>
        <w:tc>
          <w:tcPr>
            <w:tcW w:w="2340" w:type="dxa"/>
            <w:shd w:val="clear" w:color="auto" w:fill="F4F8FB"/>
            <w:vAlign w:val="center"/>
          </w:tcPr>
          <w:p>
            <w:pPr>
              <w:jc w:val="left"/>
            </w:pPr>
            <w:r>
              <w:rPr>
                <w:sz w:val="20"/>
                <w:szCs w:val="20"/>
              </w:rPr>
              <w:t xml:space="preserve">Huajuapan de León</w:t>
            </w:r>
          </w:p>
        </w:tc>
        <w:tc>
          <w:tcPr>
            <w:tcW w:w="2340" w:type="dxa"/>
            <w:shd w:val="clear" w:color="auto" w:fill="F4F8FB"/>
            <w:vAlign w:val="center"/>
          </w:tcPr>
          <w:p>
            <w:pPr>
              <w:jc w:val="center"/>
            </w:pPr>
            <w:r>
              <w:rPr>
                <w:sz w:val="20"/>
                <w:szCs w:val="20"/>
              </w:rPr>
              <w:t xml:space="preserve">3</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1</w:t>
            </w:r>
          </w:p>
        </w:tc>
      </w:tr>
      <w:tr>
        <w:tc>
          <w:tcPr>
            <w:tcW w:w="2340" w:type="dxa"/>
            <w:shd w:val="clear" w:color="auto" w:fill="FFFFFF"/>
            <w:vAlign w:val="center"/>
          </w:tcPr>
          <w:p>
            <w:pPr>
              <w:jc w:val="left"/>
            </w:pPr>
            <w:r>
              <w:rPr>
                <w:sz w:val="20"/>
                <w:szCs w:val="20"/>
              </w:rPr>
              <w:t xml:space="preserve">Tezoatlán</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1</w:t>
            </w:r>
          </w:p>
        </w:tc>
      </w:tr>
      <w:tr>
        <w:tc>
          <w:tcPr>
            <w:tcW w:w="2340" w:type="dxa"/>
            <w:shd w:val="clear" w:color="auto" w:fill="F4F8FB"/>
            <w:vAlign w:val="center"/>
          </w:tcPr>
          <w:p>
            <w:pPr>
              <w:jc w:val="left"/>
            </w:pPr>
            <w:r>
              <w:rPr>
                <w:sz w:val="20"/>
                <w:szCs w:val="20"/>
              </w:rPr>
              <w:t xml:space="preserve">Total</w:t>
            </w:r>
          </w:p>
        </w:tc>
        <w:tc>
          <w:tcPr>
            <w:tcW w:w="2340" w:type="dxa"/>
            <w:shd w:val="clear" w:color="auto" w:fill="F4F8FB"/>
            <w:vAlign w:val="center"/>
          </w:tcPr>
          <w:p>
            <w:pPr>
              <w:jc w:val="center"/>
            </w:pPr>
            <w:r>
              <w:rPr>
                <w:sz w:val="20"/>
                <w:szCs w:val="20"/>
              </w:rPr>
              <w:t xml:space="preserve">18</w:t>
            </w:r>
          </w:p>
        </w:tc>
        <w:tc>
          <w:tcPr>
            <w:tcW w:w="2340" w:type="dxa"/>
            <w:shd w:val="clear" w:color="auto" w:fill="F4F8FB"/>
            <w:vAlign w:val="center"/>
          </w:tcPr>
          <w:p>
            <w:pPr>
              <w:jc w:val="center"/>
            </w:pPr>
            <w:r>
              <w:rPr>
                <w:sz w:val="20"/>
                <w:szCs w:val="20"/>
              </w:rPr>
              <w:t xml:space="preserve">12</w:t>
            </w:r>
          </w:p>
        </w:tc>
        <w:tc>
          <w:tcPr>
            <w:tcW w:w="2340" w:type="dxa"/>
            <w:shd w:val="clear" w:color="auto" w:fill="F4F8FB"/>
            <w:vAlign w:val="center"/>
          </w:tcPr>
          <w:p>
            <w:pPr>
              <w:jc w:val="center"/>
            </w:pPr>
            <w:r>
              <w:rPr>
                <w:sz w:val="20"/>
                <w:szCs w:val="20"/>
              </w:rPr>
              <w:t xml:space="preserve">6</w:t>
            </w:r>
          </w:p>
        </w:tc>
      </w:tr>
    </w:tbl>
    <w:p>
      <w:pPr>
        <w:spacing w:after="200"/>
      </w:pPr>
    </w:p>
    <w:p>
      <w:pPr>
        <w:pStyle w:val="Heading2"/>
      </w:pPr>
      <w:r>
        <w:t xml:space="preserve">3.3. Técnicas e instrumentos</w:t>
      </w:r>
    </w:p>
    <w:p>
      <w:pPr>
        <w:jc w:val="both"/>
      </w:pPr>
      <w:r>
        <w:t xml:space="preserve">Se emplearon tres técnicas. La entrevista semiestructurada exploró las decisiones de planeación, la relación con la lengua originaria y el vínculo con la comunidad. El análisis documental examinó las doce planeaciones en busca de menciones explícitas a saberes, prácticas o conocimientos comunitarios como contenido, ejemplo o actividad. La observación de clase registró, mediante una guía, la lengua empleada, los ejemplos utilizados y la participación de integrantes de la comunidad.</w:t>
      </w:r>
    </w:p>
    <w:p>
      <w:pPr>
        <w:pStyle w:val="Heading2"/>
      </w:pPr>
      <w:r>
        <w:t xml:space="preserve">3.4. Categorías y procedimiento de análisis</w:t>
      </w:r>
    </w:p>
    <w:p>
      <w:pPr>
        <w:jc w:val="both"/>
      </w:pPr>
      <w:r>
        <w:t xml:space="preserve">El análisis se organizó en cuatro categorías definidas a partir del marco teórico: reconocimiento de saberes comunitarios en la planeación, uso de la lengua tu'un savi en el aula, jerarquías curriculares entre programa oficial y saberes locales, y vínculo con las autoridades comunitarias. Las entrevistas se transcribieron y codificaron de manera temática, y las planeaciones y observaciones se analizaron con la misma matriz. La triangulación entre las tres fuentes permitió contrastar lo que los docentes declaran con lo que consignan por escrito y con lo que se observa en el aula.</w:t>
      </w:r>
    </w:p>
    <w:p>
      <w:pPr>
        <w:pStyle w:val="Heading1"/>
      </w:pPr>
      <w:r>
        <w:t xml:space="preserve">4. Resultados</w:t>
      </w:r>
    </w:p>
    <w:p>
      <w:pPr>
        <w:jc w:val="both"/>
      </w:pPr>
      <w:r>
        <w:t xml:space="preserve">Los resultados se presentan por categoría y responden a la pregunta de investigación formulada en la introducción. Se reiteran las precauciones señaladas: son datos ilustrativos con fines académicos y se refieren a los seis planteles de la muestra.</w:t>
      </w:r>
    </w:p>
    <w:p>
      <w:pPr>
        <w:pStyle w:val="Heading2"/>
      </w:pPr>
      <w:r>
        <w:t xml:space="preserve">4.1. Reconocimiento de saberes comunitarios en la planeación</w:t>
      </w:r>
    </w:p>
    <w:p>
      <w:pPr>
        <w:jc w:val="both"/>
      </w:pPr>
      <w:r>
        <w:t xml:space="preserve">De las doce planeaciones analizadas, cinco incorporaban de manera explícita algún saber o práctica comunitaria como contenido, ejemplo o actividad central, por ejemplo, el uso del calendario agrícola para introducir nociones de estadística, el sistema de cargos como caso para estudiar formas de organización social o el cultivo del maguey como contexto de problemas de química. Las otras siete se atenían al contenido del programa oficial sin referencias al entorno inmediato. En las entrevistas, once de los dieciocho docentes afirmaron buscar ejemplos locales, pero seis de ellos reconocieron que lo hacían de manera improvisada durante la clase y no como parte de la planeación escrita, lo que explica la distancia entre el discurso y los documentos.</w:t>
      </w:r>
    </w:p>
    <w:p>
      <w:pPr>
        <w:pStyle w:val="Heading2"/>
      </w:pPr>
      <w:r>
        <w:t xml:space="preserve">4.2. Uso de la lengua tu'un savi en el aula</w:t>
      </w:r>
    </w:p>
    <w:p>
      <w:pPr>
        <w:jc w:val="both"/>
      </w:pPr>
      <w:r>
        <w:t xml:space="preserve">La lengua originaria estuvo presente en las seis sesiones observadas, aunque con funciones limitadas. En cinco de ellas se empleó para aclarar instrucciones o para explicar un término ante la duda de un estudiante, y solo en una sesión se utilizó para desarrollar una actividad completa. Trece de los dieciocho docentes declararon emplear el tu'un savi de manera ocasional como apoyo, y solo tres dijeron dominarlo lo suficiente para enseñar con él. Los demás señalaron que la variante local no coincide con la que conocen, o que no la hablan. La lengua funciona así como un puente que se tiende cuando la comprensión se interrumpe, y no como un medio de construcción de conocimiento.</w:t>
      </w:r>
    </w:p>
    <w:p>
      <w:pPr>
        <w:pStyle w:val="Heading2"/>
      </w:pPr>
      <w:r>
        <w:t xml:space="preserve">4.3. Jerarquías curriculares entre programa oficial y saberes locales</w:t>
      </w:r>
    </w:p>
    <w:p>
      <w:pPr>
        <w:jc w:val="both"/>
      </w:pPr>
      <w:r>
        <w:t xml:space="preserve">Quince de los dieciocho docentes describieron el programa oficial como la prioridad inevitable, justificada por la necesidad de preparar a los estudiantes para evaluaciones externas y para el acceso a la educación superior. Los saberes comunitarios, en esa lógica, se tratan como un complemento deseable que se atiende si el tiempo lo permite. Tres docentes sostuvieron una postura diferente: consideraron que el programa debe leerse a través de los saberes de la comunidad y reorganizaron la secuencia de contenidos para que los problemas locales estructuraran las unidades. Estos tres docentes coincidieron en trabajar en planteles con directivos o comités comunitarios que respaldaban explícitamente esa decisión.</w:t>
      </w:r>
    </w:p>
    <w:p>
      <w:pPr>
        <w:jc w:val="center"/>
        <w:spacing w:after="80"/>
      </w:pPr>
      <w:r>
        <w:rPr>
          <w:b/>
          <w:sz w:val="20"/>
          <w:szCs w:val="20"/>
        </w:rPr>
        <w:t xml:space="preserve">Tabla 3. Presencia de saberes comunitarios y de la lengua originaria por tipo de fuente (datos ilustrativos)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Indicador</w:t>
            </w:r>
          </w:p>
        </w:tc>
        <w:tc>
          <w:tcPr>
            <w:tcW w:w="2340" w:type="dxa"/>
            <w:shd w:val="clear" w:color="auto" w:fill="D6EAF8"/>
            <w:vAlign w:val="center"/>
          </w:tcPr>
          <w:p>
            <w:pPr>
              <w:jc w:val="center"/>
            </w:pPr>
            <w:r>
              <w:rPr>
                <w:b/>
                <w:sz w:val="20"/>
                <w:szCs w:val="20"/>
              </w:rPr>
              <w:t xml:space="preserve">Fuente</w:t>
            </w:r>
          </w:p>
        </w:tc>
        <w:tc>
          <w:tcPr>
            <w:tcW w:w="2340" w:type="dxa"/>
            <w:shd w:val="clear" w:color="auto" w:fill="D6EAF8"/>
            <w:vAlign w:val="center"/>
          </w:tcPr>
          <w:p>
            <w:pPr>
              <w:jc w:val="center"/>
            </w:pPr>
            <w:r>
              <w:rPr>
                <w:b/>
                <w:sz w:val="20"/>
                <w:szCs w:val="20"/>
              </w:rPr>
              <w:t xml:space="preserve">Frecuencia</w:t>
            </w:r>
          </w:p>
        </w:tc>
        <w:tc>
          <w:tcPr>
            <w:tcW w:w="2340" w:type="dxa"/>
            <w:shd w:val="clear" w:color="auto" w:fill="D6EAF8"/>
            <w:vAlign w:val="center"/>
          </w:tcPr>
          <w:p>
            <w:pPr>
              <w:jc w:val="center"/>
            </w:pPr>
            <w:r>
              <w:rPr>
                <w:b/>
                <w:sz w:val="20"/>
                <w:szCs w:val="20"/>
              </w:rPr>
              <w:t xml:space="preserve">Total de la fuente</w:t>
            </w:r>
          </w:p>
        </w:tc>
      </w:tr>
      <w:tr>
        <w:tc>
          <w:tcPr>
            <w:tcW w:w="2340" w:type="dxa"/>
            <w:shd w:val="clear" w:color="auto" w:fill="F4F8FB"/>
            <w:vAlign w:val="center"/>
          </w:tcPr>
          <w:p>
            <w:pPr>
              <w:jc w:val="left"/>
            </w:pPr>
            <w:r>
              <w:rPr>
                <w:sz w:val="20"/>
                <w:szCs w:val="20"/>
              </w:rPr>
              <w:t xml:space="preserve">Saberes comunitarios explícitos en la planeación</w:t>
            </w:r>
          </w:p>
        </w:tc>
        <w:tc>
          <w:tcPr>
            <w:tcW w:w="2340" w:type="dxa"/>
            <w:shd w:val="clear" w:color="auto" w:fill="F4F8FB"/>
            <w:vAlign w:val="center"/>
          </w:tcPr>
          <w:p>
            <w:pPr>
              <w:jc w:val="center"/>
            </w:pPr>
            <w:r>
              <w:rPr>
                <w:sz w:val="20"/>
                <w:szCs w:val="20"/>
              </w:rPr>
              <w:t xml:space="preserve">Planeaciones</w:t>
            </w:r>
          </w:p>
        </w:tc>
        <w:tc>
          <w:tcPr>
            <w:tcW w:w="2340" w:type="dxa"/>
            <w:shd w:val="clear" w:color="auto" w:fill="F4F8FB"/>
            <w:vAlign w:val="center"/>
          </w:tcPr>
          <w:p>
            <w:pPr>
              <w:jc w:val="center"/>
            </w:pPr>
            <w:r>
              <w:rPr>
                <w:sz w:val="20"/>
                <w:szCs w:val="20"/>
              </w:rPr>
              <w:t xml:space="preserve">5</w:t>
            </w:r>
          </w:p>
        </w:tc>
        <w:tc>
          <w:tcPr>
            <w:tcW w:w="2340" w:type="dxa"/>
            <w:shd w:val="clear" w:color="auto" w:fill="F4F8FB"/>
            <w:vAlign w:val="center"/>
          </w:tcPr>
          <w:p>
            <w:pPr>
              <w:jc w:val="center"/>
            </w:pPr>
            <w:r>
              <w:rPr>
                <w:sz w:val="20"/>
                <w:szCs w:val="20"/>
              </w:rPr>
              <w:t xml:space="preserve">12</w:t>
            </w:r>
          </w:p>
        </w:tc>
      </w:tr>
      <w:tr>
        <w:tc>
          <w:tcPr>
            <w:tcW w:w="2340" w:type="dxa"/>
            <w:shd w:val="clear" w:color="auto" w:fill="FFFFFF"/>
            <w:vAlign w:val="center"/>
          </w:tcPr>
          <w:p>
            <w:pPr>
              <w:jc w:val="left"/>
            </w:pPr>
            <w:r>
              <w:rPr>
                <w:sz w:val="20"/>
                <w:szCs w:val="20"/>
              </w:rPr>
              <w:t xml:space="preserve">Docentes que buscan ejemplos locales</w:t>
            </w:r>
          </w:p>
        </w:tc>
        <w:tc>
          <w:tcPr>
            <w:tcW w:w="2340" w:type="dxa"/>
            <w:shd w:val="clear" w:color="auto" w:fill="FFFFFF"/>
            <w:vAlign w:val="center"/>
          </w:tcPr>
          <w:p>
            <w:pPr>
              <w:jc w:val="center"/>
            </w:pPr>
            <w:r>
              <w:rPr>
                <w:sz w:val="20"/>
                <w:szCs w:val="20"/>
              </w:rPr>
              <w:t xml:space="preserve">Entrevistas</w:t>
            </w:r>
          </w:p>
        </w:tc>
        <w:tc>
          <w:tcPr>
            <w:tcW w:w="2340" w:type="dxa"/>
            <w:shd w:val="clear" w:color="auto" w:fill="FFFFFF"/>
            <w:vAlign w:val="center"/>
          </w:tcPr>
          <w:p>
            <w:pPr>
              <w:jc w:val="center"/>
            </w:pPr>
            <w:r>
              <w:rPr>
                <w:sz w:val="20"/>
                <w:szCs w:val="20"/>
              </w:rPr>
              <w:t xml:space="preserve">11</w:t>
            </w:r>
          </w:p>
        </w:tc>
        <w:tc>
          <w:tcPr>
            <w:tcW w:w="2340" w:type="dxa"/>
            <w:shd w:val="clear" w:color="auto" w:fill="FFFFFF"/>
            <w:vAlign w:val="center"/>
          </w:tcPr>
          <w:p>
            <w:pPr>
              <w:jc w:val="center"/>
            </w:pPr>
            <w:r>
              <w:rPr>
                <w:sz w:val="20"/>
                <w:szCs w:val="20"/>
              </w:rPr>
              <w:t xml:space="preserve">18</w:t>
            </w:r>
          </w:p>
        </w:tc>
      </w:tr>
      <w:tr>
        <w:tc>
          <w:tcPr>
            <w:tcW w:w="2340" w:type="dxa"/>
            <w:shd w:val="clear" w:color="auto" w:fill="F4F8FB"/>
            <w:vAlign w:val="center"/>
          </w:tcPr>
          <w:p>
            <w:pPr>
              <w:jc w:val="left"/>
            </w:pPr>
            <w:r>
              <w:rPr>
                <w:sz w:val="20"/>
                <w:szCs w:val="20"/>
              </w:rPr>
              <w:t xml:space="preserve">Uso de tu'un savi como apoyo ocasional</w:t>
            </w:r>
          </w:p>
        </w:tc>
        <w:tc>
          <w:tcPr>
            <w:tcW w:w="2340" w:type="dxa"/>
            <w:shd w:val="clear" w:color="auto" w:fill="F4F8FB"/>
            <w:vAlign w:val="center"/>
          </w:tcPr>
          <w:p>
            <w:pPr>
              <w:jc w:val="center"/>
            </w:pPr>
            <w:r>
              <w:rPr>
                <w:sz w:val="20"/>
                <w:szCs w:val="20"/>
              </w:rPr>
              <w:t xml:space="preserve">Entrevistas</w:t>
            </w:r>
          </w:p>
        </w:tc>
        <w:tc>
          <w:tcPr>
            <w:tcW w:w="2340" w:type="dxa"/>
            <w:shd w:val="clear" w:color="auto" w:fill="F4F8FB"/>
            <w:vAlign w:val="center"/>
          </w:tcPr>
          <w:p>
            <w:pPr>
              <w:jc w:val="center"/>
            </w:pPr>
            <w:r>
              <w:rPr>
                <w:sz w:val="20"/>
                <w:szCs w:val="20"/>
              </w:rPr>
              <w:t xml:space="preserve">13</w:t>
            </w:r>
          </w:p>
        </w:tc>
        <w:tc>
          <w:tcPr>
            <w:tcW w:w="2340" w:type="dxa"/>
            <w:shd w:val="clear" w:color="auto" w:fill="F4F8FB"/>
            <w:vAlign w:val="center"/>
          </w:tcPr>
          <w:p>
            <w:pPr>
              <w:jc w:val="center"/>
            </w:pPr>
            <w:r>
              <w:rPr>
                <w:sz w:val="20"/>
                <w:szCs w:val="20"/>
              </w:rPr>
              <w:t xml:space="preserve">18</w:t>
            </w:r>
          </w:p>
        </w:tc>
      </w:tr>
      <w:tr>
        <w:tc>
          <w:tcPr>
            <w:tcW w:w="2340" w:type="dxa"/>
            <w:shd w:val="clear" w:color="auto" w:fill="FFFFFF"/>
            <w:vAlign w:val="center"/>
          </w:tcPr>
          <w:p>
            <w:pPr>
              <w:jc w:val="left"/>
            </w:pPr>
            <w:r>
              <w:rPr>
                <w:sz w:val="20"/>
                <w:szCs w:val="20"/>
              </w:rPr>
              <w:t xml:space="preserve">Sesiones con lengua originaria como vehículo de toda la actividad</w:t>
            </w:r>
          </w:p>
        </w:tc>
        <w:tc>
          <w:tcPr>
            <w:tcW w:w="2340" w:type="dxa"/>
            <w:shd w:val="clear" w:color="auto" w:fill="FFFFFF"/>
            <w:vAlign w:val="center"/>
          </w:tcPr>
          <w:p>
            <w:pPr>
              <w:jc w:val="center"/>
            </w:pPr>
            <w:r>
              <w:rPr>
                <w:sz w:val="20"/>
                <w:szCs w:val="20"/>
              </w:rPr>
              <w:t xml:space="preserve">Observaciones</w:t>
            </w:r>
          </w:p>
        </w:tc>
        <w:tc>
          <w:tcPr>
            <w:tcW w:w="2340" w:type="dxa"/>
            <w:shd w:val="clear" w:color="auto" w:fill="FFFFFF"/>
            <w:vAlign w:val="center"/>
          </w:tcPr>
          <w:p>
            <w:pPr>
              <w:jc w:val="center"/>
            </w:pPr>
            <w:r>
              <w:rPr>
                <w:sz w:val="20"/>
                <w:szCs w:val="20"/>
              </w:rPr>
              <w:t xml:space="preserve">1</w:t>
            </w:r>
          </w:p>
        </w:tc>
        <w:tc>
          <w:tcPr>
            <w:tcW w:w="2340" w:type="dxa"/>
            <w:shd w:val="clear" w:color="auto" w:fill="FFFFFF"/>
            <w:vAlign w:val="center"/>
          </w:tcPr>
          <w:p>
            <w:pPr>
              <w:jc w:val="center"/>
            </w:pPr>
            <w:r>
              <w:rPr>
                <w:sz w:val="20"/>
                <w:szCs w:val="20"/>
              </w:rPr>
              <w:t xml:space="preserve">6</w:t>
            </w:r>
          </w:p>
        </w:tc>
      </w:tr>
      <w:tr>
        <w:tc>
          <w:tcPr>
            <w:tcW w:w="2340" w:type="dxa"/>
            <w:shd w:val="clear" w:color="auto" w:fill="F4F8FB"/>
            <w:vAlign w:val="center"/>
          </w:tcPr>
          <w:p>
            <w:pPr>
              <w:jc w:val="left"/>
            </w:pPr>
            <w:r>
              <w:rPr>
                <w:sz w:val="20"/>
                <w:szCs w:val="20"/>
              </w:rPr>
              <w:t xml:space="preserve">Docentes que priorizan el programa oficial</w:t>
            </w:r>
          </w:p>
        </w:tc>
        <w:tc>
          <w:tcPr>
            <w:tcW w:w="2340" w:type="dxa"/>
            <w:shd w:val="clear" w:color="auto" w:fill="F4F8FB"/>
            <w:vAlign w:val="center"/>
          </w:tcPr>
          <w:p>
            <w:pPr>
              <w:jc w:val="center"/>
            </w:pPr>
            <w:r>
              <w:rPr>
                <w:sz w:val="20"/>
                <w:szCs w:val="20"/>
              </w:rPr>
              <w:t xml:space="preserve">Entrevistas</w:t>
            </w:r>
          </w:p>
        </w:tc>
        <w:tc>
          <w:tcPr>
            <w:tcW w:w="2340" w:type="dxa"/>
            <w:shd w:val="clear" w:color="auto" w:fill="F4F8FB"/>
            <w:vAlign w:val="center"/>
          </w:tcPr>
          <w:p>
            <w:pPr>
              <w:jc w:val="center"/>
            </w:pPr>
            <w:r>
              <w:rPr>
                <w:sz w:val="20"/>
                <w:szCs w:val="20"/>
              </w:rPr>
              <w:t xml:space="preserve">15</w:t>
            </w:r>
          </w:p>
        </w:tc>
        <w:tc>
          <w:tcPr>
            <w:tcW w:w="2340" w:type="dxa"/>
            <w:shd w:val="clear" w:color="auto" w:fill="F4F8FB"/>
            <w:vAlign w:val="center"/>
          </w:tcPr>
          <w:p>
            <w:pPr>
              <w:jc w:val="center"/>
            </w:pPr>
            <w:r>
              <w:rPr>
                <w:sz w:val="20"/>
                <w:szCs w:val="20"/>
              </w:rPr>
              <w:t xml:space="preserve">18</w:t>
            </w:r>
          </w:p>
        </w:tc>
      </w:tr>
    </w:tbl>
    <w:p>
      <w:pPr>
        <w:spacing w:after="200"/>
      </w:pPr>
    </w:p>
    <w:p>
      <w:pPr>
        <w:pStyle w:val="Heading2"/>
      </w:pPr>
      <w:r>
        <w:t xml:space="preserve">4.4. Vínculo con las autoridades comunitarias</w:t>
      </w:r>
    </w:p>
    <w:p>
      <w:pPr>
        <w:jc w:val="both"/>
      </w:pPr>
      <w:r>
        <w:t xml:space="preserve">Catorce de los dieciocho docentes mencionaron a la asamblea o a las autoridades comunitarias como actor relevante de su trabajo, ya sea porque facilitan el espacio, porque participan en actividades o porque orientan sobre calendarios y costumbres. En cuatro planteles, autoridades o personas mayores de la comunidad habían intervenido en alguna sesión como portadoras de conocimiento sobre agricultura, historia local o técnicas artesanales. Los docentes que reportaron esas experiencias fueron, con claridad, los que más incorporaban saberes comunitarios en su planeación escrita.</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Frecuencia de hallazgos por categoría de análisis en la muestra de la Mixteca de Oaxaca (dato ilustrativo). Datos ilustrativos con fines académicos.</w:t>
      </w:r>
    </w:p>
    <w:p>
      <w:pPr>
        <w:jc w:val="both"/>
      </w:pPr>
      <w:r>
        <w:t xml:space="preserve">Las cifras muestran que, en la mayoría de los casos, conviven en el mismo docente la intención de recuperar saberes locales y la prioridad concedida al programa oficial, lo que describe una tensión de fondo y no una división entre docentes comprometidos y no comprometidos.</w:t>
      </w:r>
    </w:p>
    <w:p>
      <w:pPr>
        <w:pStyle w:val="Heading1"/>
      </w:pPr>
      <w:r>
        <w:t xml:space="preserve">5. Discusión</w:t>
      </w:r>
    </w:p>
    <w:p>
      <w:pPr>
        <w:jc w:val="both"/>
      </w:pPr>
      <w:r>
        <w:t xml:space="preserve">La pregunta de investigación planteada fue de qué manera los docentes de telebachilleratos comunitarios de la Mixteca de Oaxaca incorporan los saberes comunitarios en su práctica y qué obstáculos curriculares y lingüísticos limitan ese diálogo de saberes. Los resultados permiten responderla de manera parcial: los docentes incorporan los saberes comunitarios, sobre todo, a través de ejemplos y de recursos de apoyo durante la clase, y con menor frecuencia a través de una planeación que los coloque en el centro, y los principales obstáculos son la prioridad concedida al programa oficial y el carácter instrumental que adquiere la lengua originaria.</w:t>
      </w:r>
    </w:p>
    <w:p>
      <w:pPr>
        <w:jc w:val="both"/>
      </w:pPr>
      <w:r>
        <w:t xml:space="preserve">Este patrón coincide con lo que Rivero Manzanilla y Pinto Sosa (2026) documentan en Yucatán, donde los telebachilleratos refuerzan los vínculos comunitarios pero reproducen jerarquías lingüísticas y curriculares. En la muestra de la Mixteca, la jerarquía se expresa de forma nítida en la distancia entre las planeaciones, en las que los saberes comunitarios aparecen en cinco de doce documentos, y el discurso de los docentes, en el que once de dieciocho afirman buscarlos. Dicho en términos de Walsh (2010), buena parte de la práctica observada se ubica en una interculturalidad funcional, que reconoce la diversidad como ejemplo o recurso sin modificar la estructura del currículo.</w:t>
      </w:r>
    </w:p>
    <w:p>
      <w:pPr>
        <w:jc w:val="both"/>
      </w:pPr>
      <w:r>
        <w:t xml:space="preserve">La excepción importante son los tres docentes que organizan sus unidades en torno a problemas locales. Su caso es consistente con la tesis de Maldonado Alvarado y Maldonado Ramírez (2018), según la cual la interculturalidad en Oaxaca ha tomado forma comunitaria y se sostiene en el trabajo de maestros que cuentan con respaldo institucional y comunitario. Que estos docentes laboren en planteles con respaldo explícito de comités o directivos sugiere que las condiciones del diálogo de saberes son institucionales y colectivas, y no únicamente cuestión de la voluntad individual. Resulta pertinente la advertencia de que no puede haber diálogo entre desiguales: cuando el currículo oficial y la evaluación externa pesan más que cualquier otra consideración, el diálogo se desarrolla en una situación de asimetría.</w:t>
      </w:r>
    </w:p>
    <w:p>
      <w:pPr>
        <w:jc w:val="both"/>
      </w:pPr>
      <w:r>
        <w:t xml:space="preserve">El uso de la lengua como puente y no como vehículo de enseñanza dialoga con lo observado por González Apodaca (2013) respecto a la apropiación de la escuela por jóvenes indígenas. La autora muestra que las comunidades y los jóvenes disputan el sentido de la escuela, y la presencia de la lengua en el aula puede leerse como un indicador de esa disputa. Que solo tres docentes de dieciocho dominen el tu'un savi para enseñar sugiere que el obstáculo no es solo curricular, sino también de formación y de reclutamiento: un telebachillerato que contrata profesionistas sin conocimiento de la lengua de la comunidad hace difícil, por diseño, el uso de la lengua como medio de enseñanza.</w:t>
      </w:r>
    </w:p>
    <w:p>
      <w:pPr>
        <w:jc w:val="both"/>
      </w:pPr>
      <w:r>
        <w:t xml:space="preserve">En el plano práctico, la relación entre el vínculo con la asamblea y la presencia de saberes en la planeación apunta a que la participación comunitaria formal es una vía realista de fortalecimiento. Si las autoridades y las personas mayores intervienen como portadores de conocimiento, el docente dispone de contenidos validados por la comunidad y reduce el riesgo de folklorizar sus saberes. En el plano teórico, los hallazgos respaldan la utilidad de la tipología de Walsh para estudiar escuelas concretas, pues permite distinguir entre prácticas que añaden contenido local y prácticas que reorganizan el orden de importancia del currículo.</w:t>
      </w:r>
    </w:p>
    <w:p>
      <w:pPr>
        <w:pStyle w:val="Heading1"/>
      </w:pPr>
      <w:r>
        <w:t xml:space="preserve">6. Conclusiones</w:t>
      </w:r>
    </w:p>
    <w:p>
      <w:pPr>
        <w:jc w:val="both"/>
      </w:pPr>
      <w:r>
        <w:t xml:space="preserve">El estudio se propuso analizar las formas en que los docentes de telebachilleratos comunitarios de la Mixteca de Oaxaca incorporan los saberes comunitarios en su práctica y los obstáculos curriculares y lingüísticos que limitan ese diálogo de saberes. Dentro de los límites de la muestra, el objetivo se cumplió: se identificaron tanto las formas de incorporación como los obstáculos principales.</w:t>
      </w:r>
    </w:p>
    <w:p>
      <w:pPr>
        <w:jc w:val="both"/>
      </w:pPr>
      <w:r>
        <w:t xml:space="preserve">Los saberes comunitarios están presentes en la práctica docente, pero de manera irregular y dependiente de la iniciativa individual. Aparecen en cinco de doce planeaciones y en las explicaciones de once de dieciocho docentes, pero rara vez estructuran la secuencia de contenidos. La lengua tu'un savi cumple una función de apoyo en cinco de seis sesiones observadas, y solo en una sesión sustenta una actividad completa. El obstáculo curricular más constante es la prioridad concedida al programa oficial, declarada por quince de dieciocho docentes. En contraste, el vínculo con la asamblea comunitaria aparece como el factor que más se asocia con una incorporación más profunda de los saberes locales.</w:t>
      </w:r>
    </w:p>
    <w:p>
      <w:pPr>
        <w:jc w:val="both"/>
      </w:pPr>
      <w:r>
        <w:t xml:space="preserve">Las conclusiones deben leerse con cautela por las limitaciones del estudio. La muestra, de seis planteles y dieciocho docentes, es intencional y no probabilística, de modo que los resultados no pueden generalizarse a todos los telebachilleratos de la Mixteca ni de Oaxaca. Las cifras son datos ilustrativos con fines académicos y expresan frecuencias en la muestra, no prevalencias poblacionales. Tampoco se recogió la voz de los estudiantes ni de las familias, de modo que la lectura del diálogo de saberes se hace solo desde la perspectiva docente y la observación de clase.</w:t>
      </w:r>
    </w:p>
    <w:p>
      <w:pPr>
        <w:jc w:val="both"/>
      </w:pPr>
      <w:r>
        <w:t xml:space="preserve">Entre las implicaciones para la región, destaca que fortalecer el diálogo de saberes requiere decisiones que van más allá de cada docente: formación inicial y continua en lengua y cultura mixteca, reconocimiento de la planeación con base en problemas locales y mecanismos formales de participación de la asamblea.</w:t>
      </w:r>
    </w:p>
    <w:p>
      <w:pPr>
        <w:pStyle w:val="Heading1"/>
      </w:pPr>
      <w:r>
        <w:t xml:space="preserve">7. Líneas futuras de investigación</w:t>
      </w:r>
    </w:p>
    <w:p>
      <w:pPr>
        <w:jc w:val="both"/>
      </w:pPr>
      <w:r>
        <w:t xml:space="preserve">Primera, ampliar el estudio a la perspectiva de los estudiantes y de las familias mediante entrevistas y talleres, para contrastar la percepción de los docentes con la de quienes reciben la educación, atendiendo la limitación de haber trabajado solo con la mirada docente.</w:t>
      </w:r>
    </w:p>
    <w:p>
      <w:pPr>
        <w:jc w:val="both"/>
      </w:pPr>
      <w:r>
        <w:t xml:space="preserve">Segunda, realizar un estudio comparativo con telebachilleratos de otras regiones de Oaxaca, como la Sierra Mixe o los Valles Centrales, y con el caso de Yucatán documentado por Rivero Manzanilla y Pinto Sosa (2026), para evaluar en qué medida las jerarquías curriculares y lingüísticas son comunes a distintos territorios.</w:t>
      </w:r>
    </w:p>
    <w:p>
      <w:pPr>
        <w:jc w:val="both"/>
      </w:pPr>
      <w:r>
        <w:t xml:space="preserve">Tercera, diseñar y evaluar una intervención de investigación acción que acompañe a un grupo de docentes en la reorganización de su planeación en torno a problemas locales, con participación de la asamblea, y documentar sus efectos en la presencia de saberes comunitarios y en el uso de la lengua originaria.</w:t>
      </w:r>
    </w:p>
    <w:p>
      <w:pPr>
        <w:jc w:val="both"/>
      </w:pPr>
      <w:r>
        <w:t xml:space="preserve">Cuarta, analizar el perfil de contratación y la formación de los docentes de telebachillerato en regiones indígenas, dado que el limitado dominio del tu'un savi por parte del profesorado es un obstáculo que el diseño curricular por sí solo no resuelve.</w:t>
      </w:r>
    </w:p>
    <w:p>
      <w:pPr>
        <w:pStyle w:val="Heading1"/>
      </w:pPr>
      <w:r>
        <w:t xml:space="preserve">Referencias</w:t>
      </w:r>
    </w:p>
    <w:p>
      <w:pPr>
        <w:ind w:left="720" w:hanging="720"/>
        <w:jc w:val="both"/>
      </w:pPr>
      <w:r>
        <w:t xml:space="preserve">González Apodaca, E. E. (2013). Apropiación étnica de la escuela entre los pueblos mixes de Oaxaca. La educación comunitaria e intercultural vista desde sus jóvenes. </w:t>
      </w:r>
      <w:r>
        <w:rPr>
          <w:i/>
        </w:rPr>
        <w:t xml:space="preserve">Perfiles Educativos</w:t>
      </w:r>
      <w:r>
        <w:t xml:space="preserve">, </w:t>
      </w:r>
      <w:r>
        <w:rPr>
          <w:i/>
        </w:rPr>
        <w:t xml:space="preserve">35</w:t>
      </w:r>
      <w:r>
        <w:t xml:space="preserve">(141), 65-83. https://www.redalyc.org/pdf/132/13228259005.pdf</w:t>
      </w:r>
    </w:p>
    <w:p>
      <w:pPr>
        <w:ind w:left="720" w:hanging="720"/>
        <w:jc w:val="both"/>
      </w:pPr>
      <w:r>
        <w:t xml:space="preserve">Maldonado Alvarado, B., y Maldonado Ramírez, C. L. (2018). Educación e interculturalidad en Oaxaca: avances y desafíos. </w:t>
      </w:r>
      <w:r>
        <w:rPr>
          <w:i/>
        </w:rPr>
        <w:t xml:space="preserve">Sinéctica</w:t>
      </w:r>
      <w:r>
        <w:t xml:space="preserve">, (50), 1-17. https://doi.org/10.31391/S2007-7033(2018)0050-006</w:t>
      </w:r>
    </w:p>
    <w:p>
      <w:pPr>
        <w:ind w:left="720" w:hanging="720"/>
        <w:jc w:val="both"/>
      </w:pPr>
      <w:r>
        <w:t xml:space="preserve">Rivero Manzanilla, K. V., y Pinto Sosa, J. E. (2026). Los telebachilleratos comunitarios en la educación media superior: en la búsqueda de la justicia epistémica. </w:t>
      </w:r>
      <w:r>
        <w:rPr>
          <w:i/>
        </w:rPr>
        <w:t xml:space="preserve">Areté, Revista Digital del Doctorado en Educación</w:t>
      </w:r>
      <w:r>
        <w:t xml:space="preserve">, </w:t>
      </w:r>
      <w:r>
        <w:rPr>
          <w:i/>
        </w:rPr>
        <w:t xml:space="preserve">12</w:t>
      </w:r>
      <w:r>
        <w:t xml:space="preserve">(23), 1-19. https://doi.org/10.55560/arete.2026.23.12.7</w:t>
      </w:r>
    </w:p>
    <w:p>
      <w:pPr>
        <w:ind w:left="720" w:hanging="720"/>
        <w:jc w:val="both"/>
      </w:pPr>
      <w:r>
        <w:t xml:space="preserve">Walsh, C. (2010). Interculturalidad crítica y educación intercultural. En J. Viaña, L. Tapia y C. Walsh, </w:t>
      </w:r>
      <w:r>
        <w:rPr>
          <w:i/>
        </w:rPr>
        <w:t xml:space="preserve">Construyendo interculturalidad crítica</w:t>
      </w:r>
      <w:r>
        <w:t xml:space="preserve">. Instituto Internacional de Integración del Convenio Andrés Bello. https://portaluchile.uchile.cl/dam/jcr:9a895201-1689-4c50-8f2d-df419340df47/interculturalidad-critica-y-educacion-intercultural.pdf</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Justicia epistémica en el aula: diálogo de saberes en telebachilleratos comunitarios de la Mixteca de Oaxaca</dc:title>
  <dc:creator>Claude</dc:creator>
  <cp:lastModifiedBy>Claude</cp:lastModifiedBy>
  <dcterms:created xsi:type="dcterms:W3CDTF">2026-10-06T00:00:00Z</dcterms:created>
  <dcterms:modified xsi:type="dcterms:W3CDTF">2026-10-06T00:00:00Z</dcterms:modified>
</cp:coreProperties>
</file>