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Sentido antes que sanción: estrategias axiológicas y semánticas para la convivencia escolar en telesecundarias de la Sierra Negra de Puebla</w:t>
      </w:r>
    </w:p>
    <w:p>
      <w:pPr>
        <w:jc w:val="center"/>
        <w:spacing w:after="240"/>
      </w:pPr>
      <w:r>
        <w:rPr>
          <w:b/>
          <w:i/>
          <w:sz w:val="26"/>
          <w:szCs w:val="26"/>
        </w:rPr>
        <w:t xml:space="preserve">Meaning Before Sanction: Axiological and Semantic Strategies for School Coexistence in Telesecundarias of the Sierra Negra, Puebla</w:t>
      </w:r>
    </w:p>
    <w:p>
      <w:pPr>
        <w:jc w:val="both"/>
      </w:pPr>
      <w:r>
        <w:rPr>
          <w:b/>
        </w:rPr>
        <w:t xml:space="preserve">Resumen. </w:t>
      </w:r>
      <w:r>
        <w:t xml:space="preserve">Este artículo analiza cómo las estrategias axiológicas, orientadas a la formación en valores, y las estrategias semánticas, orientadas a la construcción de sentido de los conflictos escolares, se articulan como respuesta pedagógica a la violencia entre pares en telesecundarias de la Sierra Negra de Puebla. A diferencia de los enfoques disciplinarios centrados en la sanción, que dominan buena parte de la política escolar mexicana, este trabajo examina cómo algunos docentes combinan la formación valoral con la interpretación compartida del sentido de un conflicto antes de recurrir a medidas correctivas. Se adoptó un enfoque cualitativo con apoyo documental, mediante un estudio de caso en tres telesecundarias de Zoquitlán, Eloxochitlán de Flores Magón y Coyomeapan, con un corpus de diecinueve fuentes, entre planeaciones de Formación Cívica y Ética, bitácoras de incidencias y materiales de tutoría, y trece entrevistas a nueve docentes y cuatro tutores. El análisis se organizó en cuatro categorías: estrategias axiológicas explícitas, estrategias semánticas de construcción de sentido, incidencia de conflictos de convivencia, y percepción docente sobre su relación. Los resultados, datos ilustrativos con fines académicos, muestran que las telesecundarias donde los docentes combinan ambas estrategias registraron menor incidencia de conflictos reiterados que aquellas centradas solo en la sanción. Se discute esta articulación en relación con la literatura sobre convivencia escolar y comprensión lectora, y se concluye que la formación en valores sin construcción compartida de sentido tiende a quedar en el discurso, mientras que la construcción de sentido sin orientación valoral explícita corre el riesgo de neutralidad excesiva ante la violencia.</w:t>
      </w:r>
    </w:p>
    <w:p>
      <w:pPr>
        <w:jc w:val="both"/>
      </w:pPr>
      <w:r>
        <w:rPr>
          <w:b/>
        </w:rPr>
        <w:t xml:space="preserve">Palabras clave:</w:t>
      </w:r>
      <w:r>
        <w:t xml:space="preserve"> estrategias axiológicas, construcción de sentido, Sierra Negra de Puebla</w:t>
      </w:r>
    </w:p>
    <w:p>
      <w:pPr>
        <w:jc w:val="both"/>
      </w:pPr>
      <w:r>
        <w:rPr>
          <w:b/>
        </w:rPr>
        <w:t xml:space="preserve">Abstract. </w:t>
      </w:r>
      <w:r>
        <w:t xml:space="preserve">This article analyzes how axiological strategies, oriented toward values formation, and semantic strategies, oriented toward the construction of meaning around school conflicts, are articulated as a pedagogical response to peer violence in telesecundarias of the Sierra Negra, Puebla. Unlike sanction-centered disciplinary approaches common in Mexican school policy, this work examines how some teachers combine values formation with the shared interpretation of a conflict's meaning before resorting to corrective measures. A qualitative approach supported by documentary records was adopted, through a case study in three telesecundarias in Zoquitlán, Eloxochitlán de Flores Magón, and Coyomeapan, drawing on a corpus of nineteen sources, including Civic and Ethics lesson plans, incident logs, and tutoring materials, and thirteen interviews with nine teachers and four tutors. The analysis was organized into four categories: explicit axiological strategies, semantic meaning-construction strategies, incidence of coexistence conflicts, and teacher perception of their relationship. The findings, illustrative data for academic purposes, show that telesecundarias where teachers combine both strategies recorded lower incidence of recurring conflicts than those centered only on sanction. This articulation is discussed in relation to the literature on school coexistence and reading comprehension, and it is concluded that values formation without shared meaning-construction tends to remain merely discursive, while meaning-construction without explicit axiological orientation risks excessive neutrality toward violence.</w:t>
      </w:r>
    </w:p>
    <w:p>
      <w:pPr>
        <w:jc w:val="both"/>
      </w:pPr>
      <w:r>
        <w:rPr>
          <w:b/>
        </w:rPr>
        <w:t xml:space="preserve">Keywords:</w:t>
      </w:r>
      <w:r>
        <w:t xml:space="preserve"> axiological strategies, meaning construction, Sierra Negra of Puebla</w:t>
      </w:r>
    </w:p>
    <w:p>
      <w:pPr>
        <w:pStyle w:val="Heading1"/>
      </w:pPr>
      <w:r>
        <w:t xml:space="preserve">1. Introducción</w:t>
      </w:r>
    </w:p>
    <w:p>
      <w:pPr>
        <w:jc w:val="both"/>
      </w:pPr>
      <w:r>
        <w:t xml:space="preserve">En las telesecundarias de la Sierra Negra de Puebla, región montañosa que comprende municipios como Zoquitlán, Eloxochitlán de Flores Magón y Coyomeapan, la respuesta institucional habitual frente a un conflicto entre estudiantes suele ser disciplinaria: un reporte, una llamada a los padres de familia, en ocasiones una suspensión temporal. Esta lógica de contención y sanción, documentada como predominante en buena parte de la política escolar mexicana frente a la violencia entre pares (Fierro-Evans y Carbajal-Padilla, 2021), convive sin embargo, en algunas aulas de la región, con una lógica distinta: la de detenerse a construir, junto con los estudiantes implicados, el sentido de lo ocurrido, antes de decidir qué hacer con ello. El título de este artículo, sentido antes que sanción, nombra esa segunda lógica y la distingue de la primera, no para negar la necesidad de normas claras, sino para preguntar qué papel juegan la formación en valores y la construcción de sentido en la manera en que los conflictos escolares se resuelven o se repiten.</w:t>
      </w:r>
    </w:p>
    <w:p>
      <w:pPr>
        <w:jc w:val="both"/>
      </w:pPr>
      <w:r>
        <w:t xml:space="preserve">El problema que motiva este estudio parte de una constatación de la literatura sobre convivencia escolar: la violencia entre estudiantes de educación secundaria en México se manifiesta de manera predominante como agresión verbal e insultos entre pares, y quienes la experimentan desarrollan percepciones menos favorables sobre la integración escolar y los procesos democráticos del plantel (Del Cid García et al., 2025). Frente a esta constatación, el modelo de convivencia escolar propuesto para la política pública mexicana distingue tres niveles de intervención, contención, resolución de conflictos y transformación de las prácticas pedagógicas, y ubica a este último nivel, el de la transformación, como el que exige una reorientación pedagógica más profunda hacia la inclusión, la equidad y la participación (Fierro-Evans y Carbajal-Padilla, 2021). Sin embargo, la literatura revisada no examina de manera específica qué papel desempeñan, dentro de ese nivel transformador, dos dimensiones que este artículo propone articular: la axiológica, es decir, la formación explícita en valores, y la semántica, es decir, la capacidad de construir e interpretar de manera compartida el sentido de un conflicto, dimensión estrechamente relacionada con la comprensión lectora entendida como construcción activa de significado (Madero Suárez y Gómez López, 2013).</w:t>
      </w:r>
    </w:p>
    <w:p>
      <w:pPr>
        <w:jc w:val="both"/>
      </w:pPr>
      <w:r>
        <w:t xml:space="preserve">La Sierra Negra de Puebla resulta pertinente para examinar esta cuestión por razones tanto pedagógicas como territoriales. Se trata de una región de telesecundarias rurales, modalidad que desde su origen en 1968 ha buscado extender objetivos que trascienden lo estrictamente académico e involucran a la comunidad en la reflexión colectiva sobre sus propios problemas (Navarrete-Cazales y López-Hernández, 2022), lo que en principio ofrece un terreno fértil para articular la formación valoral con la construcción de sentido situada en la vida comunitaria de la región. Al mismo tiempo, es una región de alta marginación, aislamiento geográfico y suspensión frecuente de clases por fenómenos climáticos, condiciones que intensifican la relevancia de que la escuela cuente con estrategias propias para procesar sus conflictos internos, sin depender exclusivamente de instancias externas de apoyo psicosocial que en la práctica llegan de manera esporádica a la región.</w:t>
      </w:r>
    </w:p>
    <w:p>
      <w:pPr>
        <w:jc w:val="both"/>
      </w:pPr>
      <w:r>
        <w:t xml:space="preserve">El </w:t>
      </w:r>
      <w:r>
        <w:rPr>
          <w:b/>
        </w:rPr>
        <w:t xml:space="preserve">objetivo general</w:t>
      </w:r>
      <w:r>
        <w:t xml:space="preserve"> de este artículo es analizar de qué manera las estrategias axiológicas y semánticas implementadas por los docentes se articulan como respuesta pedagógica a los conflictos de convivencia entre estudiantes en telesecundarias de la Sierra Negra de Puebla. Dado el carácter cualitativo y exploratorio del estudio, no se formula una hipótesis, sino la siguiente </w:t>
      </w:r>
      <w:r>
        <w:rPr>
          <w:b/>
        </w:rPr>
        <w:t xml:space="preserve">pregunta de investigación</w:t>
      </w:r>
      <w:r>
        <w:t xml:space="preserve">: ¿de qué manera las estrategias axiológicas y semánticas implementadas por los docentes se articulan como respuesta pedagógica a los conflictos de convivencia entre estudiantes en telesecundarias de esta región? Esta pregunta reaparece de manera literal en las secciones de resultados, discusión y conclusiones. La relevancia académica del estudio consiste en articular dos dimensiones, la axiológica y la semántica, generalmente tratadas por separado en la literatura sobre convivencia escolar; su relevancia social radica en ofrecer a las telesecundarias de la región una lectura de sus propias prácticas que pueda orientar decisiones pedagógicas frente a la violencia entre pares.</w:t>
      </w:r>
    </w:p>
    <w:p>
      <w:pPr>
        <w:pStyle w:val="Heading1"/>
      </w:pPr>
      <w:r>
        <w:t xml:space="preserve">2. Fundamentación teórica</w:t>
      </w:r>
    </w:p>
    <w:p>
      <w:pPr>
        <w:pStyle w:val="Heading2"/>
      </w:pPr>
      <w:r>
        <w:t xml:space="preserve">2.1. Convivencia escolar y violencia entre pares en México</w:t>
      </w:r>
    </w:p>
    <w:p>
      <w:pPr>
        <w:jc w:val="both"/>
      </w:pPr>
      <w:r>
        <w:t xml:space="preserve">La investigación sobre convivencia escolar en instituciones de educación secundaria públicas del noroeste de México, con una muestra de 656 estudiantes de nueve escuelas ubicadas en zonas de alta incidencia delictiva, encuentra que la violencia entre pares es la forma de agresión más prevalente, y que los estudiantes que la experimentan reportan percepciones menos favorables sobre la integración escolar y los procesos democráticos del plantel en comparación con quienes no la han experimentado (Del Cid García et al., 2025). Este hallazgo es relevante para el presente estudio porque sitúa la violencia entre pares no como un problema aislado de conducta individual, sino como un fenómeno que erosiona el sentido mismo de pertenencia e integración a la comunidad escolar, precisamente la dimensión que este artículo denomina semántica.</w:t>
      </w:r>
    </w:p>
    <w:p>
      <w:pPr>
        <w:jc w:val="both"/>
      </w:pPr>
      <w:r>
        <w:t xml:space="preserve">El modelo de convivencia escolar propuesto por Fierro-Evans y Carbajal-Padilla (2021), construido mediante análisis documental de la política pública mexicana, reconcilia dos enfoques que suelen tratarse por separado, la prevención de la violencia y la teoría de la convivencia, e identifica tres niveles de intervención posibles: la contención inmediata del conflicto, su resolución mediante mecanismos específicos, y la transformación de las prácticas pedagógicas hacia la inclusión, la equidad y la participación. Las autoras señalan que este último nivel, el transformador, es el que con mayor frecuencia queda ausente de las políticas escolares, que tienden a concentrarse en la contención. Este artículo retoma esa distinción para preguntar, específicamente, si las estrategias axiológicas y semánticas observadas en las telesecundarias estudiadas corresponden a ese nivel transformador o permanecen en el nivel de la contención.</w:t>
      </w:r>
    </w:p>
    <w:p>
      <w:pPr>
        <w:pStyle w:val="Heading2"/>
      </w:pPr>
      <w:r>
        <w:t xml:space="preserve">2.2. La dimensión axiológica: formación en valores como corazón de la educación</w:t>
      </w:r>
    </w:p>
    <w:p>
      <w:pPr>
        <w:jc w:val="both"/>
      </w:pPr>
      <w:r>
        <w:t xml:space="preserve">Latapí Sarre, cuya obra ha sido objeto de una relectura ética y poética por parte de López Calva (2012), sostuvo que la educación moral debe orientarse a que los jóvenes aprendan a vivir por el espíritu y no por la ley, es decir, a que la orientación valoral no se reduzca al cumplimiento de una norma externa, sino que se convierta en una disposición interior genuina. López Calva (2012) retoma esta idea para argumentar que los valores constituyen el corazón mismo de la educación, y que la formación moral representa una dimensión esencial pero insuficientemente explorada de la escolarización, en la medida en que los propios docentes y directivos suelen abordar el tema sin haber estudiado a fondo los enfoques disponibles para instrumentarlo pedagógicamente. Esta advertencia resulta pertinente para el contexto de las telesecundarias rurales, donde la asignatura de Formación Cívica y Ética con frecuencia debe ser atendida por un docente único responsable de todas las áreas, sin formación especializada en educación valoral.</w:t>
      </w:r>
    </w:p>
    <w:p>
      <w:pPr>
        <w:pStyle w:val="Heading2"/>
      </w:pPr>
      <w:r>
        <w:t xml:space="preserve">2.3. La dimensión semántica: comprensión lectora como construcción de sentido</w:t>
      </w:r>
    </w:p>
    <w:p>
      <w:pPr>
        <w:jc w:val="both"/>
      </w:pPr>
      <w:r>
        <w:t xml:space="preserve">Madero Suárez y Gómez López (2013), en su estudio sobre el proceso de comprensión lectora en estudiantes mexicanos de tercer grado de secundaria, encuentran que la comprensión no es un proceso pasivo de decodificación, sino una construcción activa de significado en la que el lector confronta sus conocimientos previos con el contenido del texto, y que la metacognición, entendida como el monitoreo de los propios procesos de comprensión, resulta determinante para identificar cuándo un texto, o por extensión una situación, no ha sido comprendido adecuadamente. Trasladada al terreno de la convivencia escolar, esta perspectiva permite entender la construcción de sentido de un conflicto como un proceso análogo a la comprensión lectora: los estudiantes implicados deben confrontar su interpretación inicial del conflicto, con frecuencia parcial o defensiva, con otras interpretaciones posibles, guiados por un mediador que favorezca ese monitoreo interpretativo antes de que se imponga una lectura única y sancionadora del hecho.</w:t>
      </w:r>
    </w:p>
    <w:p>
      <w:pPr>
        <w:pStyle w:val="Heading2"/>
      </w:pPr>
      <w:r>
        <w:t xml:space="preserve">2.4. La telesecundaria como modelo pedagógico situado en la comunidad</w:t>
      </w:r>
    </w:p>
    <w:p>
      <w:pPr>
        <w:jc w:val="both"/>
      </w:pPr>
      <w:r>
        <w:t xml:space="preserve">Navarrete-Cazales y López-Hernández (2022), en su reconstrucción genealógica de la telesecundaria mexicana desde 1968 hasta la actualidad, documentan que este modelo, que hoy atiende a uno de cada cinco estudiantes de secundaria en el país, surgió con la vocación explícita de vincular el currículo escolar con la reflexión colectiva sobre los problemas del entorno comunitario, y no únicamente con la transmisión de contenidos académicos. Esta vocación comunitaria original de la telesecundaria ofrece, en principio, un terreno pedagógico afín tanto a la formación axiológica como a la construcción semántica de sentido, en la medida en que ambas dimensiones se nutren de la vida concreta de la comunidad escolar y no de un currículo abstracto desvinculado de ella.</w:t>
      </w:r>
    </w:p>
    <w:p>
      <w:pPr>
        <w:pStyle w:val="Heading2"/>
      </w:pPr>
      <w:r>
        <w:t xml:space="preserve">2.5. Hacia una articulación entre lo axiológico y lo semántico</w:t>
      </w:r>
    </w:p>
    <w:p>
      <w:pPr>
        <w:jc w:val="both"/>
      </w:pPr>
      <w:r>
        <w:t xml:space="preserve">Los cuatro apartados anteriores permiten identificar un vacío conceptual que este artículo busca atender. La literatura sobre convivencia escolar (Fierro-Evans y Carbajal-Padilla, 2021; Del Cid García et al., 2025) describe con claridad los niveles de intervención posibles frente a la violencia entre pares, pero no detalla los mecanismos pedagógicos concretos mediante los cuales el nivel transformador se traduce en la práctica cotidiana del aula. La literatura sobre educación en valores (López Calva, 2012) aporta esa dimensión pedagógica, pero de manera general, sin especificar cómo la formación valoral se articula con un conflicto particular y situado. La literatura sobre comprensión lectora (Madero Suárez y Gómez López, 2013), por su parte, ofrece un vocabulario preciso, el de la construcción activa de significado y el monitoreo metacognitivo, que este artículo traslada, por analogía, del texto escrito al conflicto escolar como objeto de interpretación compartida. La premisa analítica que orienta la observación empírica de este estudio, coherente con el enfoque cualitativo adoptado y con la pregunta de investigación ya planteada, es que la combinación intencional de ambas dimensiones, la axiológica y la semántica, podría producir una respuesta pedagógica más eficaz frente a la violencia entre pares que su aplicación aislada, extremo que los resultados permitirán explorar.</w:t>
      </w:r>
    </w:p>
    <w:p>
      <w:pPr>
        <w:pStyle w:val="Heading1"/>
      </w:pPr>
      <w:r>
        <w:t xml:space="preserve">3. Metodología</w:t>
      </w:r>
    </w:p>
    <w:p>
      <w:pPr>
        <w:pStyle w:val="Heading2"/>
      </w:pPr>
      <w:r>
        <w:t xml:space="preserve">3.1. Enfoque y diseño</w:t>
      </w:r>
    </w:p>
    <w:p>
      <w:pPr>
        <w:jc w:val="both"/>
      </w:pPr>
      <w:r>
        <w:t xml:space="preserve">El estudio adopta un </w:t>
      </w:r>
      <w:r>
        <w:rPr>
          <w:b/>
        </w:rPr>
        <w:t xml:space="preserve">enfoque cualitativo</w:t>
      </w:r>
      <w:r>
        <w:t xml:space="preserve"> con apoyo de registro documental, adecuado para comprender de qué manera se articulan, en la práctica cotidiana del aula, dos estrategias pedagógicas que la literatura suele tratar de forma separada. El diseño es un </w:t>
      </w:r>
      <w:r>
        <w:rPr>
          <w:b/>
        </w:rPr>
        <w:t xml:space="preserve">estudio de caso</w:t>
      </w:r>
      <w:r>
        <w:t xml:space="preserve"> en tres telesecundarias públicas de los municipios de Zoquitlán, Eloxochitlán de Flores Magón y Coyomeapan, en la Sierra Negra de Puebla, seleccionadas por contar con registros documentales de incidencias de convivencia disponibles para los últimos tres trimestres del ciclo escolar en curso.</w:t>
      </w:r>
    </w:p>
    <w:p>
      <w:pPr>
        <w:pStyle w:val="Heading2"/>
      </w:pPr>
      <w:r>
        <w:t xml:space="preserve">3.2. Corpus y participantes</w:t>
      </w:r>
    </w:p>
    <w:p>
      <w:pPr>
        <w:jc w:val="both"/>
      </w:pPr>
      <w:r>
        <w:t xml:space="preserve">El corpus documental está integrado por </w:t>
      </w:r>
      <w:r>
        <w:rPr>
          <w:b/>
        </w:rPr>
        <w:t xml:space="preserve">diecinueve fuentes</w:t>
      </w:r>
      <w:r>
        <w:t xml:space="preserve">: las planeaciones de la asignatura de Formación Cívica y Ética de cada plantel, las bitácoras de incidencias de convivencia de los tres trimestres más recientes, y los materiales de lectura utilizados en las sesiones de tutoría grupal. De manera complementaria, se realizaron </w:t>
      </w:r>
      <w:r>
        <w:rPr>
          <w:b/>
        </w:rPr>
        <w:t xml:space="preserve">trece entrevistas semiestructuradas</w:t>
      </w:r>
      <w:r>
        <w:t xml:space="preserve">: nueve a docentes, tres por escuela, y cuatro a tutores de grupo. Se trata de un corpus y una muestra ilustrativos y no probabilísticos. La Tabla 1 describe las escuelas participantes.</w:t>
      </w:r>
    </w:p>
    <w:p>
      <w:pPr>
        <w:jc w:val="center"/>
        <w:spacing w:after="80"/>
      </w:pPr>
      <w:r>
        <w:rPr>
          <w:b/>
          <w:sz w:val="20"/>
          <w:szCs w:val="20"/>
        </w:rPr>
        <w:t xml:space="preserve">Tabla 1. Telesecundarias participantes por municipio y matrícula</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Escuela (municipio)</w:t>
            </w:r>
          </w:p>
        </w:tc>
        <w:tc>
          <w:tcPr>
            <w:tcW w:w="2340" w:type="dxa"/>
            <w:shd w:val="clear" w:color="auto" w:fill="D6EAF8"/>
            <w:vAlign w:val="center"/>
          </w:tcPr>
          <w:p>
            <w:pPr>
              <w:jc w:val="center"/>
            </w:pPr>
            <w:r>
              <w:rPr>
                <w:b/>
                <w:sz w:val="20"/>
                <w:szCs w:val="20"/>
              </w:rPr>
              <w:t xml:space="preserve">Matrícula (dato ilustrativo)</w:t>
            </w:r>
          </w:p>
        </w:tc>
        <w:tc>
          <w:tcPr>
            <w:tcW w:w="2340" w:type="dxa"/>
            <w:shd w:val="clear" w:color="auto" w:fill="D6EAF8"/>
            <w:vAlign w:val="center"/>
          </w:tcPr>
          <w:p>
            <w:pPr>
              <w:jc w:val="center"/>
            </w:pPr>
            <w:r>
              <w:rPr>
                <w:b/>
                <w:sz w:val="20"/>
                <w:szCs w:val="20"/>
              </w:rPr>
              <w:t xml:space="preserve">Docentes entrevistados</w:t>
            </w:r>
          </w:p>
        </w:tc>
        <w:tc>
          <w:tcPr>
            <w:tcW w:w="2340" w:type="dxa"/>
            <w:shd w:val="clear" w:color="auto" w:fill="D6EAF8"/>
            <w:vAlign w:val="center"/>
          </w:tcPr>
          <w:p>
            <w:pPr>
              <w:jc w:val="center"/>
            </w:pPr>
            <w:r>
              <w:rPr>
                <w:b/>
                <w:sz w:val="20"/>
                <w:szCs w:val="20"/>
              </w:rPr>
              <w:t xml:space="preserve">Incidencias de convivencia registradas (3 trimestres)</w:t>
            </w:r>
          </w:p>
        </w:tc>
      </w:tr>
      <w:tr>
        <w:tc>
          <w:tcPr>
            <w:tcW w:w="2340" w:type="dxa"/>
            <w:shd w:val="clear" w:color="auto" w:fill="F4F8FB"/>
            <w:vAlign w:val="center"/>
          </w:tcPr>
          <w:p>
            <w:pPr>
              <w:jc w:val="left"/>
            </w:pPr>
            <w:r>
              <w:rPr>
                <w:sz w:val="20"/>
                <w:szCs w:val="20"/>
              </w:rPr>
              <w:t xml:space="preserve">Telesecundaria 1 (Zoquitlán)</w:t>
            </w:r>
          </w:p>
        </w:tc>
        <w:tc>
          <w:tcPr>
            <w:tcW w:w="2340" w:type="dxa"/>
            <w:shd w:val="clear" w:color="auto" w:fill="F4F8FB"/>
            <w:vAlign w:val="center"/>
          </w:tcPr>
          <w:p>
            <w:pPr>
              <w:jc w:val="center"/>
            </w:pPr>
            <w:r>
              <w:rPr>
                <w:sz w:val="20"/>
                <w:szCs w:val="20"/>
              </w:rPr>
              <w:t xml:space="preserve">58</w:t>
            </w:r>
          </w:p>
        </w:tc>
        <w:tc>
          <w:tcPr>
            <w:tcW w:w="2340" w:type="dxa"/>
            <w:shd w:val="clear" w:color="auto" w:fill="F4F8FB"/>
            <w:vAlign w:val="center"/>
          </w:tcPr>
          <w:p>
            <w:pPr>
              <w:jc w:val="center"/>
            </w:pPr>
            <w:r>
              <w:rPr>
                <w:sz w:val="20"/>
                <w:szCs w:val="20"/>
              </w:rPr>
              <w:t xml:space="preserve">3</w:t>
            </w:r>
          </w:p>
        </w:tc>
        <w:tc>
          <w:tcPr>
            <w:tcW w:w="2340" w:type="dxa"/>
            <w:shd w:val="clear" w:color="auto" w:fill="F4F8FB"/>
            <w:vAlign w:val="center"/>
          </w:tcPr>
          <w:p>
            <w:pPr>
              <w:jc w:val="center"/>
            </w:pPr>
            <w:r>
              <w:rPr>
                <w:sz w:val="20"/>
                <w:szCs w:val="20"/>
              </w:rPr>
              <w:t xml:space="preserve">14</w:t>
            </w:r>
          </w:p>
        </w:tc>
      </w:tr>
      <w:tr>
        <w:tc>
          <w:tcPr>
            <w:tcW w:w="2340" w:type="dxa"/>
            <w:shd w:val="clear" w:color="auto" w:fill="FFFFFF"/>
            <w:vAlign w:val="center"/>
          </w:tcPr>
          <w:p>
            <w:pPr>
              <w:jc w:val="left"/>
            </w:pPr>
            <w:r>
              <w:rPr>
                <w:sz w:val="20"/>
                <w:szCs w:val="20"/>
              </w:rPr>
              <w:t xml:space="preserve">Telesecundaria 2 (Eloxochitlán de Flores Magón)</w:t>
            </w:r>
          </w:p>
        </w:tc>
        <w:tc>
          <w:tcPr>
            <w:tcW w:w="2340" w:type="dxa"/>
            <w:shd w:val="clear" w:color="auto" w:fill="FFFFFF"/>
            <w:vAlign w:val="center"/>
          </w:tcPr>
          <w:p>
            <w:pPr>
              <w:jc w:val="center"/>
            </w:pPr>
            <w:r>
              <w:rPr>
                <w:sz w:val="20"/>
                <w:szCs w:val="20"/>
              </w:rPr>
              <w:t xml:space="preserve">41</w:t>
            </w:r>
          </w:p>
        </w:tc>
        <w:tc>
          <w:tcPr>
            <w:tcW w:w="2340" w:type="dxa"/>
            <w:shd w:val="clear" w:color="auto" w:fill="FFFFFF"/>
            <w:vAlign w:val="center"/>
          </w:tcPr>
          <w:p>
            <w:pPr>
              <w:jc w:val="center"/>
            </w:pPr>
            <w:r>
              <w:rPr>
                <w:sz w:val="20"/>
                <w:szCs w:val="20"/>
              </w:rPr>
              <w:t xml:space="preserve">3</w:t>
            </w:r>
          </w:p>
        </w:tc>
        <w:tc>
          <w:tcPr>
            <w:tcW w:w="2340" w:type="dxa"/>
            <w:shd w:val="clear" w:color="auto" w:fill="FFFFFF"/>
            <w:vAlign w:val="center"/>
          </w:tcPr>
          <w:p>
            <w:pPr>
              <w:jc w:val="center"/>
            </w:pPr>
            <w:r>
              <w:rPr>
                <w:sz w:val="20"/>
                <w:szCs w:val="20"/>
              </w:rPr>
              <w:t xml:space="preserve">21</w:t>
            </w:r>
          </w:p>
        </w:tc>
      </w:tr>
      <w:tr>
        <w:tc>
          <w:tcPr>
            <w:tcW w:w="2340" w:type="dxa"/>
            <w:shd w:val="clear" w:color="auto" w:fill="F4F8FB"/>
            <w:vAlign w:val="center"/>
          </w:tcPr>
          <w:p>
            <w:pPr>
              <w:jc w:val="left"/>
            </w:pPr>
            <w:r>
              <w:rPr>
                <w:sz w:val="20"/>
                <w:szCs w:val="20"/>
              </w:rPr>
              <w:t xml:space="preserve">Telesecundaria 3 (Coyomeapan)</w:t>
            </w:r>
          </w:p>
        </w:tc>
        <w:tc>
          <w:tcPr>
            <w:tcW w:w="2340" w:type="dxa"/>
            <w:shd w:val="clear" w:color="auto" w:fill="F4F8FB"/>
            <w:vAlign w:val="center"/>
          </w:tcPr>
          <w:p>
            <w:pPr>
              <w:jc w:val="center"/>
            </w:pPr>
            <w:r>
              <w:rPr>
                <w:sz w:val="20"/>
                <w:szCs w:val="20"/>
              </w:rPr>
              <w:t xml:space="preserve">67</w:t>
            </w:r>
          </w:p>
        </w:tc>
        <w:tc>
          <w:tcPr>
            <w:tcW w:w="2340" w:type="dxa"/>
            <w:shd w:val="clear" w:color="auto" w:fill="F4F8FB"/>
            <w:vAlign w:val="center"/>
          </w:tcPr>
          <w:p>
            <w:pPr>
              <w:jc w:val="center"/>
            </w:pPr>
            <w:r>
              <w:rPr>
                <w:sz w:val="20"/>
                <w:szCs w:val="20"/>
              </w:rPr>
              <w:t xml:space="preserve">3</w:t>
            </w:r>
          </w:p>
        </w:tc>
        <w:tc>
          <w:tcPr>
            <w:tcW w:w="2340" w:type="dxa"/>
            <w:shd w:val="clear" w:color="auto" w:fill="F4F8FB"/>
            <w:vAlign w:val="center"/>
          </w:tcPr>
          <w:p>
            <w:pPr>
              <w:jc w:val="center"/>
            </w:pPr>
            <w:r>
              <w:rPr>
                <w:sz w:val="20"/>
                <w:szCs w:val="20"/>
              </w:rPr>
              <w:t xml:space="preserve">9</w:t>
            </w:r>
          </w:p>
        </w:tc>
      </w:tr>
    </w:tbl>
    <w:p>
      <w:pPr>
        <w:spacing w:after="200"/>
      </w:pPr>
    </w:p>
    <w:p>
      <w:pPr>
        <w:pStyle w:val="Heading2"/>
      </w:pPr>
      <w:r>
        <w:t xml:space="preserve">3.3. Categorías y procedimiento de análisis</w:t>
      </w:r>
    </w:p>
    <w:p>
      <w:pPr>
        <w:jc w:val="both"/>
      </w:pPr>
      <w:r>
        <w:t xml:space="preserve">El análisis fue </w:t>
      </w:r>
      <w:r>
        <w:rPr>
          <w:b/>
        </w:rPr>
        <w:t xml:space="preserve">temático de contenido</w:t>
      </w:r>
      <w:r>
        <w:t xml:space="preserve">, organizado en cuatro categorías: 1) estrategias axiológicas explícitas, referidas a la formación en valores mediante dilemas morales, análisis de casos o proyectos de Formación Cívica y Ética; 2) estrategias semánticas de construcción de sentido, referidas a la mediación docente para que los estudiantes interpreten de manera compartida el significado de un conflicto antes de una sanción; 3) incidencia de conflictos de convivencia registrados en las bitácoras escolares; y 4) percepción docente sobre la relación entre ambas estrategias y la recurrencia de los conflictos. El procedimiento comprendió codificación temática de entrevistas y documentos, construcción de matrices comparativas entre las tres escuelas, y triangulación entre el discurso docente y los registros de incidencias. Las cifras y los nombres de escuelas y localidades presentados en Resultados son </w:t>
      </w:r>
      <w:r>
        <w:rPr>
          <w:b/>
        </w:rPr>
        <w:t xml:space="preserve">datos ilustrativos con fines académicos</w:t>
      </w:r>
      <w:r>
        <w:t xml:space="preserve">.</w:t>
      </w:r>
    </w:p>
    <w:p>
      <w:pPr>
        <w:pStyle w:val="Heading1"/>
      </w:pPr>
      <w:r>
        <w:t xml:space="preserve">4. Resultados</w:t>
      </w:r>
    </w:p>
    <w:p>
      <w:pPr>
        <w:jc w:val="both"/>
      </w:pPr>
      <w:r>
        <w:t xml:space="preserve">Los resultados se organizan según las cuatro categorías anunciadas y responden de manera directa a la pregunta de investigación.</w:t>
      </w:r>
    </w:p>
    <w:p>
      <w:pPr>
        <w:pStyle w:val="Heading2"/>
      </w:pPr>
      <w:r>
        <w:t xml:space="preserve">4.1. Estrategias axiológicas explícitas</w:t>
      </w:r>
    </w:p>
    <w:p>
      <w:pPr>
        <w:jc w:val="both"/>
      </w:pPr>
      <w:r>
        <w:t xml:space="preserve">Las tres telesecundarias desarrollan, según sus planeaciones, actividades de Formación Cívica y Ética orientadas a valores como el respeto, la honestidad y la responsabilidad, aunque con un tratamiento distinto. La Telesecundaria 3 documentó el mayor número de sesiones dedicadas a dilemas morales y análisis de casos concretos de conflicto entre pares, mientras que la Telesecundaria 2 concentró su trabajo axiológico en actividades más generales, sin vínculo explícito con incidentes ocurridos en la propia escuela.</w:t>
      </w:r>
    </w:p>
    <w:p>
      <w:pPr>
        <w:pStyle w:val="Heading2"/>
      </w:pPr>
      <w:r>
        <w:t xml:space="preserve">4.2. Estrategias semánticas de construcción de sentido</w:t>
      </w:r>
    </w:p>
    <w:p>
      <w:pPr>
        <w:jc w:val="both"/>
      </w:pPr>
      <w:r>
        <w:t xml:space="preserve">La segunda categoría reveló una diferencia más marcada entre escuelas. En la Telesecundaria 3, los docentes entrevistados describieron un procedimiento sistemático: antes de emitir cualquier sanción, se convoca a los estudiantes implicados a una conversación mediada en la que cada parte expone su versión, se identifican los supuestos y las lecturas previas que cada estudiante hizo de la situación, y se construye de manera conjunta una interpretación compartida del conflicto, procedimiento que los propios docentes relacionaron, sin usar ese vocabulario técnico, con lo que la literatura describe como monitoreo metacognitivo de la comprensión (Madero Suárez y Gómez López, 2013). En las Telesecundarias 1 y 2, este procedimiento fue descrito como ocasional y dependiente de la disposición individual de cada docente, más que como una práctica institucionalizada del plantel.</w:t>
      </w:r>
    </w:p>
    <w:p>
      <w:pPr>
        <w:pStyle w:val="Heading2"/>
      </w:pPr>
      <w:r>
        <w:t xml:space="preserve">4.3. Incidencia de conflictos de convivencia</w:t>
      </w:r>
    </w:p>
    <w:p>
      <w:pPr>
        <w:jc w:val="both"/>
      </w:pPr>
      <w:r>
        <w:t xml:space="preserve">La Figura 1 muestra las incidencias de convivencia registradas por escuela en los últimos tres trimestres. La Telesecundaria 2, con menor desarrollo de estrategias semánticas sistemáticas, registró el mayor número de incidencias, mientras que la Telesecundaria 3, con el procedimiento de mediación de sentido más desarrollado, registró el menor número, a pesar de no tener la matrícula más pequeña de las tres.</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Incidencias de convivencia registradas por escuela en tres trimestres (dato ilustrativo, Sierra Negra de Puebla). Datos ilustrativos con fines académicos.</w:t>
      </w:r>
    </w:p>
    <w:p>
      <w:pPr>
        <w:jc w:val="both"/>
      </w:pPr>
      <w:r>
        <w:t xml:space="preserve">Un dato adicional relevante es la proporción de incidencias reiteradas, es decir, conflictos registrados más de una vez entre las mismas partes durante el periodo estudiado. La Tabla 2 sintetiza esta información.</w:t>
      </w:r>
    </w:p>
    <w:p>
      <w:pPr>
        <w:jc w:val="center"/>
        <w:spacing w:after="80"/>
      </w:pPr>
      <w:r>
        <w:rPr>
          <w:b/>
          <w:sz w:val="20"/>
          <w:szCs w:val="20"/>
        </w:rPr>
        <w:t xml:space="preserve">Tabla 2. Incidencias de convivencia totales y reiteradas por escuela (dato ilustrativo, 3 trimestres)</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Escuela</w:t>
            </w:r>
          </w:p>
        </w:tc>
        <w:tc>
          <w:tcPr>
            <w:tcW w:w="2340" w:type="dxa"/>
            <w:shd w:val="clear" w:color="auto" w:fill="D6EAF8"/>
            <w:vAlign w:val="center"/>
          </w:tcPr>
          <w:p>
            <w:pPr>
              <w:jc w:val="center"/>
            </w:pPr>
            <w:r>
              <w:rPr>
                <w:b/>
                <w:sz w:val="20"/>
                <w:szCs w:val="20"/>
              </w:rPr>
              <w:t xml:space="preserve">Incidencias totales</w:t>
            </w:r>
          </w:p>
        </w:tc>
        <w:tc>
          <w:tcPr>
            <w:tcW w:w="2340" w:type="dxa"/>
            <w:shd w:val="clear" w:color="auto" w:fill="D6EAF8"/>
            <w:vAlign w:val="center"/>
          </w:tcPr>
          <w:p>
            <w:pPr>
              <w:jc w:val="center"/>
            </w:pPr>
            <w:r>
              <w:rPr>
                <w:b/>
                <w:sz w:val="20"/>
                <w:szCs w:val="20"/>
              </w:rPr>
              <w:t xml:space="preserve">Incidencias reiteradas entre las mismas partes</w:t>
            </w:r>
          </w:p>
        </w:tc>
        <w:tc>
          <w:tcPr>
            <w:tcW w:w="2340" w:type="dxa"/>
            <w:shd w:val="clear" w:color="auto" w:fill="D6EAF8"/>
            <w:vAlign w:val="center"/>
          </w:tcPr>
          <w:p>
            <w:pPr>
              <w:jc w:val="center"/>
            </w:pPr>
            <w:r>
              <w:rPr>
                <w:b/>
                <w:sz w:val="20"/>
                <w:szCs w:val="20"/>
              </w:rPr>
              <w:t xml:space="preserve">Proporción de reiteración</w:t>
            </w:r>
          </w:p>
        </w:tc>
      </w:tr>
      <w:tr>
        <w:tc>
          <w:tcPr>
            <w:tcW w:w="2340" w:type="dxa"/>
            <w:shd w:val="clear" w:color="auto" w:fill="F4F8FB"/>
            <w:vAlign w:val="center"/>
          </w:tcPr>
          <w:p>
            <w:pPr>
              <w:jc w:val="left"/>
            </w:pPr>
            <w:r>
              <w:rPr>
                <w:sz w:val="20"/>
                <w:szCs w:val="20"/>
              </w:rPr>
              <w:t xml:space="preserve">Telesecundaria 1 (Zoquitlán)</w:t>
            </w:r>
          </w:p>
        </w:tc>
        <w:tc>
          <w:tcPr>
            <w:tcW w:w="2340" w:type="dxa"/>
            <w:shd w:val="clear" w:color="auto" w:fill="F4F8FB"/>
            <w:vAlign w:val="center"/>
          </w:tcPr>
          <w:p>
            <w:pPr>
              <w:jc w:val="center"/>
            </w:pPr>
            <w:r>
              <w:rPr>
                <w:sz w:val="20"/>
                <w:szCs w:val="20"/>
              </w:rPr>
              <w:t xml:space="preserve">14</w:t>
            </w:r>
          </w:p>
        </w:tc>
        <w:tc>
          <w:tcPr>
            <w:tcW w:w="2340" w:type="dxa"/>
            <w:shd w:val="clear" w:color="auto" w:fill="F4F8FB"/>
            <w:vAlign w:val="center"/>
          </w:tcPr>
          <w:p>
            <w:pPr>
              <w:jc w:val="center"/>
            </w:pPr>
            <w:r>
              <w:rPr>
                <w:sz w:val="20"/>
                <w:szCs w:val="20"/>
              </w:rPr>
              <w:t xml:space="preserve">5</w:t>
            </w:r>
          </w:p>
        </w:tc>
        <w:tc>
          <w:tcPr>
            <w:tcW w:w="2340" w:type="dxa"/>
            <w:shd w:val="clear" w:color="auto" w:fill="F4F8FB"/>
            <w:vAlign w:val="center"/>
          </w:tcPr>
          <w:p>
            <w:pPr>
              <w:jc w:val="center"/>
            </w:pPr>
            <w:r>
              <w:rPr>
                <w:sz w:val="20"/>
                <w:szCs w:val="20"/>
              </w:rPr>
              <w:t xml:space="preserve">36%</w:t>
            </w:r>
          </w:p>
        </w:tc>
      </w:tr>
      <w:tr>
        <w:tc>
          <w:tcPr>
            <w:tcW w:w="2340" w:type="dxa"/>
            <w:shd w:val="clear" w:color="auto" w:fill="FFFFFF"/>
            <w:vAlign w:val="center"/>
          </w:tcPr>
          <w:p>
            <w:pPr>
              <w:jc w:val="left"/>
            </w:pPr>
            <w:r>
              <w:rPr>
                <w:sz w:val="20"/>
                <w:szCs w:val="20"/>
              </w:rPr>
              <w:t xml:space="preserve">Telesecundaria 2 (Eloxochitlán)</w:t>
            </w:r>
          </w:p>
        </w:tc>
        <w:tc>
          <w:tcPr>
            <w:tcW w:w="2340" w:type="dxa"/>
            <w:shd w:val="clear" w:color="auto" w:fill="FFFFFF"/>
            <w:vAlign w:val="center"/>
          </w:tcPr>
          <w:p>
            <w:pPr>
              <w:jc w:val="center"/>
            </w:pPr>
            <w:r>
              <w:rPr>
                <w:sz w:val="20"/>
                <w:szCs w:val="20"/>
              </w:rPr>
              <w:t xml:space="preserve">21</w:t>
            </w:r>
          </w:p>
        </w:tc>
        <w:tc>
          <w:tcPr>
            <w:tcW w:w="2340" w:type="dxa"/>
            <w:shd w:val="clear" w:color="auto" w:fill="FFFFFF"/>
            <w:vAlign w:val="center"/>
          </w:tcPr>
          <w:p>
            <w:pPr>
              <w:jc w:val="center"/>
            </w:pPr>
            <w:r>
              <w:rPr>
                <w:sz w:val="20"/>
                <w:szCs w:val="20"/>
              </w:rPr>
              <w:t xml:space="preserve">11</w:t>
            </w:r>
          </w:p>
        </w:tc>
        <w:tc>
          <w:tcPr>
            <w:tcW w:w="2340" w:type="dxa"/>
            <w:shd w:val="clear" w:color="auto" w:fill="FFFFFF"/>
            <w:vAlign w:val="center"/>
          </w:tcPr>
          <w:p>
            <w:pPr>
              <w:jc w:val="center"/>
            </w:pPr>
            <w:r>
              <w:rPr>
                <w:sz w:val="20"/>
                <w:szCs w:val="20"/>
              </w:rPr>
              <w:t xml:space="preserve">52%</w:t>
            </w:r>
          </w:p>
        </w:tc>
      </w:tr>
      <w:tr>
        <w:tc>
          <w:tcPr>
            <w:tcW w:w="2340" w:type="dxa"/>
            <w:shd w:val="clear" w:color="auto" w:fill="F4F8FB"/>
            <w:vAlign w:val="center"/>
          </w:tcPr>
          <w:p>
            <w:pPr>
              <w:jc w:val="left"/>
            </w:pPr>
            <w:r>
              <w:rPr>
                <w:sz w:val="20"/>
                <w:szCs w:val="20"/>
              </w:rPr>
              <w:t xml:space="preserve">Telesecundaria 3 (Coyomeapan)</w:t>
            </w:r>
          </w:p>
        </w:tc>
        <w:tc>
          <w:tcPr>
            <w:tcW w:w="2340" w:type="dxa"/>
            <w:shd w:val="clear" w:color="auto" w:fill="F4F8FB"/>
            <w:vAlign w:val="center"/>
          </w:tcPr>
          <w:p>
            <w:pPr>
              <w:jc w:val="center"/>
            </w:pPr>
            <w:r>
              <w:rPr>
                <w:sz w:val="20"/>
                <w:szCs w:val="20"/>
              </w:rPr>
              <w:t xml:space="preserve">9</w:t>
            </w:r>
          </w:p>
        </w:tc>
        <w:tc>
          <w:tcPr>
            <w:tcW w:w="2340" w:type="dxa"/>
            <w:shd w:val="clear" w:color="auto" w:fill="F4F8FB"/>
            <w:vAlign w:val="center"/>
          </w:tcPr>
          <w:p>
            <w:pPr>
              <w:jc w:val="center"/>
            </w:pPr>
            <w:r>
              <w:rPr>
                <w:sz w:val="20"/>
                <w:szCs w:val="20"/>
              </w:rPr>
              <w:t xml:space="preserve">1</w:t>
            </w:r>
          </w:p>
        </w:tc>
        <w:tc>
          <w:tcPr>
            <w:tcW w:w="2340" w:type="dxa"/>
            <w:shd w:val="clear" w:color="auto" w:fill="F4F8FB"/>
            <w:vAlign w:val="center"/>
          </w:tcPr>
          <w:p>
            <w:pPr>
              <w:jc w:val="center"/>
            </w:pPr>
            <w:r>
              <w:rPr>
                <w:sz w:val="20"/>
                <w:szCs w:val="20"/>
              </w:rPr>
              <w:t xml:space="preserve">11%</w:t>
            </w:r>
          </w:p>
        </w:tc>
      </w:tr>
    </w:tbl>
    <w:p>
      <w:pPr>
        <w:spacing w:after="200"/>
      </w:pPr>
    </w:p>
    <w:p>
      <w:pPr>
        <w:pStyle w:val="Heading2"/>
      </w:pPr>
      <w:r>
        <w:t xml:space="preserve">4.4. Percepción docente sobre la relación entre ambas estrategias</w:t>
      </w:r>
    </w:p>
    <w:p>
      <w:pPr>
        <w:jc w:val="both"/>
      </w:pPr>
      <w:r>
        <w:t xml:space="preserve">En las entrevistas, los docentes de la Telesecundaria 3 atribuyeron la menor reiteración de conflictos precisamente a que la mediación de sentido evita que las partes conserven una interpretación unilateral y no resuelta del incidente, lo que consideran más determinante que la severidad de la sanción aplicada. Los docentes de las otras dos escuelas, en cambio, tendieron a explicar la persistencia de los conflictos por características atribuidas a los propios estudiantes o a las familias, sin referirse de manera explícita a la ausencia de un procedimiento de construcción de sentido compartido, lo que sugiere que esta estrategia no forma parte de su repertorio pedagógico consciente.</w:t>
      </w:r>
    </w:p>
    <w:p>
      <w:pPr>
        <w:pStyle w:val="Heading1"/>
      </w:pPr>
      <w:r>
        <w:t xml:space="preserve">5. Discusión</w:t>
      </w:r>
    </w:p>
    <w:p>
      <w:pPr>
        <w:jc w:val="both"/>
      </w:pPr>
      <w:r>
        <w:t xml:space="preserve">Los hallazgos permiten responder la pregunta de investigación de manera clara, aunque con matices: las estrategias axiológicas y semánticas se articulan como respuesta pedagógica a los conflictos de convivencia de manera más eficaz cuando operan de forma conjunta e intencional, como en la Telesecundaria 3, que cuando se implementan de manera aislada o meramente discursiva, como sugieren los patrones de las Telesecundarias 1 y 2. Esta articulación exitosa corresponde, en los términos de Fierro-Evans y Carbajal-Padilla (2021), al nivel transformador de intervención en convivencia escolar, el que las autoras señalan como el menos desarrollado en la política pública mexicana, mientras que la ausencia de esa articulación mantiene a las otras dos escuelas en un nivel más cercano a la contención.</w:t>
      </w:r>
    </w:p>
    <w:p>
      <w:pPr>
        <w:jc w:val="both"/>
      </w:pPr>
      <w:r>
        <w:t xml:space="preserve">Los resultados dialogan también con la advertencia de López Calva (2012), retomando a Latapí, sobre el riesgo de que la formación en valores se quede en el discurso si no se articula con una práctica pedagógica concreta que la haga significativa para los estudiantes. La Telesecundaria 2, que dedicó tiempo curricular a la formación valoral general sin vincularla con los conflictos reales de la escuela, ejemplifica precisamente ese riesgo: valores enseñados por el espíritu de la norma, pero no encarnados en la resolución situada de los conflictos que los propios estudiantes enfrentan.</w:t>
      </w:r>
    </w:p>
    <w:p>
      <w:pPr>
        <w:jc w:val="both"/>
      </w:pPr>
      <w:r>
        <w:t xml:space="preserve">En sentido inverso, los resultados también sugieren un riesgo simétrico, no explorado por la literatura revisada: la construcción de sentido sin una orientación valoral explícita podría derivar en una interpretación excesivamente neutral de la violencia, en la que comprender las razones de una agresión se confunda con justificarla. Ninguna de las tres escuelas estudiadas mostró evidencia de este riesgo de manera clara, pero el hallazgo de que la Telesecundaria 3 combina ambas estrategias, y no solo la semántica, sugiere que esa combinación podría ser precisamente lo que previene ese desequilibrio.</w:t>
      </w:r>
    </w:p>
    <w:p>
      <w:pPr>
        <w:jc w:val="both"/>
      </w:pPr>
      <w:r>
        <w:t xml:space="preserve">La aportación específica de este estudio consiste en proponer y explorar empíricamente, para telesecundarias rurales de la Sierra Negra de Puebla, una articulación entre dos dimensiones pedagógicas, la axiológica y la semántica, que la literatura sobre convivencia escolar y la literatura sobre comprensión lectora han desarrollado por separado. Las implicaciones prácticas apuntan a que la formación docente en la región debería incorporar de manera explícita la mediación de sentido como técnica pedagógica vinculada a la formación en valores, y no como dos asignaturas o competencias independientes entre sí.</w:t>
      </w:r>
    </w:p>
    <w:p>
      <w:pPr>
        <w:pStyle w:val="Heading1"/>
      </w:pPr>
      <w:r>
        <w:t xml:space="preserve">6. Conclusiones</w:t>
      </w:r>
    </w:p>
    <w:p>
      <w:pPr>
        <w:jc w:val="both"/>
      </w:pPr>
      <w:r>
        <w:t xml:space="preserve">Este artículo analizó de qué manera las estrategias axiológicas y semánticas implementadas por los docentes se articulan como respuesta pedagógica a los conflictos de convivencia entre estudiantes en telesecundarias de la Sierra Negra de Puebla. La pregunta de investigación encuentra respuesta afirmativa: cuando ambas estrategias operan de manera conjunta e intencional, como en la telesecundaria de Coyomeapan estudiada, se asocian con una menor incidencia y reiteración de conflictos que cuando operan de manera aislada o meramente discursiva. La formación en valores sin construcción compartida de sentido tiende a quedar en el discurso, mientras que la construcción de sentido sin orientación valoral explícita corre el riesgo de una neutralidad excesiva ante la violencia, aunque este segundo riesgo no se documentó de manera clara en el corpus de este estudio.</w:t>
      </w:r>
    </w:p>
    <w:p>
      <w:pPr>
        <w:jc w:val="both"/>
      </w:pPr>
      <w:r>
        <w:t xml:space="preserve">Estas conclusiones deben leerse con las limitaciones propias del diseño del estudio. El corpus de diecinueve fuentes documentales y las trece entrevistas en tres escuelas constituyen una muestra ilustrativa y no probabilística, por lo que los hallazgos no pueden generalizarse a la totalidad de las telesecundarias de la Sierra Negra de Puebla ni de otras regiones serranas con características similares. El estudio, además, no incluyó la perspectiva directa de los estudiantes involucrados en los conflictos registrados, lo que limita la comprensión de cómo estos experimentan subjetivamente la mediación de sentido frente a la sanción disciplinaria. Con estas salvedades, el estudio aporta evidencia situada que respalda la relevancia de articular la formación axiológica con la construcción semántica de sentido como estrategia pedagógica frente a la violencia entre pares en la región.</w:t>
      </w:r>
    </w:p>
    <w:p>
      <w:pPr>
        <w:pStyle w:val="Heading1"/>
      </w:pPr>
      <w:r>
        <w:t xml:space="preserve">7. Líneas futuras de investigación</w:t>
      </w:r>
    </w:p>
    <w:p>
      <w:pPr>
        <w:jc w:val="both"/>
      </w:pPr>
      <w:r>
        <w:t xml:space="preserve">En primer lugar, se sugiere realizar estudios longitudinales que documenten, en un número mayor de telesecundarias de la Sierra Negra de Puebla, si la articulación entre estrategias axiológicas y semánticas mantiene su asociación con una menor reiteración de conflictos a lo largo de varios ciclos escolares, y no solo en el periodo acotado de este estudio.</w:t>
      </w:r>
    </w:p>
    <w:p>
      <w:pPr>
        <w:jc w:val="both"/>
      </w:pPr>
      <w:r>
        <w:t xml:space="preserve">En segundo lugar, dado que este estudio se basó en una muestra ilustrativa de tres escuelas y no incorporó la perspectiva estudiantil, futuras investigaciones podrían incluir entrevistas o grupos focales con los propios estudiantes implicados en los conflictos, para explorar cómo experimentan la mediación de sentido frente a la sanción disciplinaria y si la perciben como una respuesta legítima.</w:t>
      </w:r>
    </w:p>
    <w:p>
      <w:pPr>
        <w:jc w:val="both"/>
      </w:pPr>
      <w:r>
        <w:t xml:space="preserve">En tercer lugar, se recomienda diseñar y evaluar un protocolo formal de mediación semántica de conflictos, inspirado en el procedimiento identificado en la Telesecundaria 3 de este estudio, y explorar su viabilidad como estrategia de formación docente replicable en otras telesecundarias rurales de la región, en diálogo con el nivel transformador de intervención en convivencia escolar propuesto por Fierro-Evans y Carbajal-Padilla (2021).</w:t>
      </w:r>
    </w:p>
    <w:p>
      <w:pPr>
        <w:pStyle w:val="Heading1"/>
      </w:pPr>
      <w:r>
        <w:t xml:space="preserve">Referencias</w:t>
      </w:r>
    </w:p>
    <w:p>
      <w:pPr>
        <w:ind w:left="720" w:hanging="720"/>
        <w:jc w:val="both"/>
      </w:pPr>
      <w:r>
        <w:t xml:space="preserve">Del Cid García, C. J., Juraz Rolán, N. E., y Vera Noriega, J. Á. (2025). Convivencia escolar en instituciones de educación secundaria públicas en el noroeste de México. </w:t>
      </w:r>
      <w:r>
        <w:rPr>
          <w:i/>
        </w:rPr>
        <w:t xml:space="preserve">Espacios en Blanco. Serie Indagaciones</w:t>
      </w:r>
      <w:r>
        <w:t xml:space="preserve">, </w:t>
      </w:r>
      <w:r>
        <w:rPr>
          <w:i/>
        </w:rPr>
        <w:t xml:space="preserve">2</w:t>
      </w:r>
      <w:r>
        <w:t xml:space="preserve">(35), 259-262. https://doi.org/10.37177/UNICEN/EB35-444</w:t>
      </w:r>
    </w:p>
    <w:p>
      <w:pPr>
        <w:ind w:left="720" w:hanging="720"/>
        <w:jc w:val="both"/>
      </w:pPr>
      <w:r>
        <w:t xml:space="preserve">Fierro-Evans, C., y Carbajal-Padilla, P. (2021). Modelo de convivencia escolar. Un marco para políticas públicas, formación e investigación. </w:t>
      </w:r>
      <w:r>
        <w:rPr>
          <w:i/>
        </w:rPr>
        <w:t xml:space="preserve">Sinéctica</w:t>
      </w:r>
      <w:r>
        <w:t xml:space="preserve">, (57), e1242. https://doi.org/10.31391/S2007-7033(2021)0057-011</w:t>
      </w:r>
    </w:p>
    <w:p>
      <w:pPr>
        <w:ind w:left="720" w:hanging="720"/>
        <w:jc w:val="both"/>
      </w:pPr>
      <w:r>
        <w:t xml:space="preserve">López Calva, J. M. (2012). El corazón de la educación y la educación del corazón. Algunas reflexiones éticas y poéticas sobre la relación educación y valores en la obra de Pablo Latapí. </w:t>
      </w:r>
      <w:r>
        <w:rPr>
          <w:i/>
        </w:rPr>
        <w:t xml:space="preserve">Perfiles Educativos</w:t>
      </w:r>
      <w:r>
        <w:t xml:space="preserve">, </w:t>
      </w:r>
      <w:r>
        <w:rPr>
          <w:i/>
        </w:rPr>
        <w:t xml:space="preserve">34</w:t>
      </w:r>
      <w:r>
        <w:t xml:space="preserve">(135). https://www.scielo.org.mx/scielo.php?script=sci_arttext&amp;pid=S0185-26982012000100012</w:t>
      </w:r>
    </w:p>
    <w:p>
      <w:pPr>
        <w:ind w:left="720" w:hanging="720"/>
        <w:jc w:val="both"/>
      </w:pPr>
      <w:r>
        <w:t xml:space="preserve">Madero Suárez, I. P., y Gómez López, L. F. (2013). El proceso de comprensión lectora en alumnos de tercero de secundaria. </w:t>
      </w:r>
      <w:r>
        <w:rPr>
          <w:i/>
        </w:rPr>
        <w:t xml:space="preserve">Revista Mexicana de Investigación Educativa</w:t>
      </w:r>
      <w:r>
        <w:t xml:space="preserve">, </w:t>
      </w:r>
      <w:r>
        <w:rPr>
          <w:i/>
        </w:rPr>
        <w:t xml:space="preserve">18</w:t>
      </w:r>
      <w:r>
        <w:t xml:space="preserve">(56). https://www.scielo.org.mx/scielo.php?script=sci_arttext&amp;pid=S1405-66662013000100006</w:t>
      </w:r>
    </w:p>
    <w:p>
      <w:pPr>
        <w:ind w:left="720" w:hanging="720"/>
        <w:jc w:val="both"/>
      </w:pPr>
      <w:r>
        <w:t xml:space="preserve">Navarrete-Cazales, Z., y López-Hernández, P. A. (2022). La telesecundaria en México. </w:t>
      </w:r>
      <w:r>
        <w:rPr>
          <w:i/>
        </w:rPr>
        <w:t xml:space="preserve">Perfiles Educativos</w:t>
      </w:r>
      <w:r>
        <w:t xml:space="preserve">, </w:t>
      </w:r>
      <w:r>
        <w:rPr>
          <w:i/>
        </w:rPr>
        <w:t xml:space="preserve">44</w:t>
      </w:r>
      <w:r>
        <w:t xml:space="preserve">(178), 63-78. https://doi.org/10.22201/iisue.24486167e.2022.178.60673</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Sentido antes que sanción: estrategias axiológicas y semánticas para la convivencia escolar en telesecundarias de la Sierra Negra de Puebla</dc:title>
  <dc:creator>Claude</dc:creator>
  <cp:lastModifiedBy>Claude</cp:lastModifiedBy>
  <dcterms:created xsi:type="dcterms:W3CDTF">2026-09-22T00:00:00Z</dcterms:created>
  <dcterms:modified xsi:type="dcterms:W3CDTF">2026-09-22T00:00:00Z</dcterms:modified>
</cp:coreProperties>
</file>