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La milpa como aula: saberes agroecológicos cafetaleros en el currículo de la educación primaria indígena de Xicotepec y Tlacuilotepec, Huasteca Poblana</w:t>
      </w:r>
    </w:p>
    <w:p>
      <w:pPr>
        <w:jc w:val="center"/>
        <w:spacing w:after="240"/>
      </w:pPr>
      <w:r>
        <w:rPr>
          <w:b/>
          <w:i/>
          <w:sz w:val="26"/>
          <w:szCs w:val="26"/>
        </w:rPr>
        <w:t xml:space="preserve">The Milpa as Classroom: Coffee Agroecological Knowledge in the Indigenous Primary School Curriculum of Xicotepec and Tlacuilotepec, Huasteca Poblana</w:t>
      </w:r>
    </w:p>
    <w:p>
      <w:pPr>
        <w:jc w:val="both"/>
      </w:pPr>
      <w:r>
        <w:rPr>
          <w:b/>
        </w:rPr>
        <w:t xml:space="preserve">Resumen. </w:t>
      </w:r>
      <w:r>
        <w:t xml:space="preserve">Este artículo analiza cómo los saberes agroecológicos cafetaleros locales se articulan con el currículo oficial de la educación primaria indígena en escuelas de Xicotepec de Juárez y Tlacuilotepec, Huasteca Poblana. A diferencia de estudios previos sobre educación indígena en la región, centrados en el desplazamiento lingüístico o en la certificación docente, este trabajo examina el vínculo entre la economía cafetalera local y los contenidos escolares. Se adoptó un enfoque cualitativo mediante un estudio de caso comparativo en tres escuelas primarias indígenas, con un corpus de dieciocho fuentes documentales, entre planeaciones, materiales de Lengua y Cultura Indígena y actas de consejo técnico, y catorce entrevistas a diez docentes bilingües y cuatro promotores agroecológicos. El análisis se organizó en cuatro categorías: presencia curricular de los saberes agroecológicos, mediación docente entre currículo y saberes locales, participación comunitaria cafetalera en la vida escolar, y tensiones entre el calendario escolar y el ciclo agrícola del café. Los resultados, datos ilustrativos con fines académicos, muestran que Lengua y Cultura Indígena ofrece un espacio curricular formal para los saberes cafetaleros, pero que su aprovechamiento depende de la iniciativa individual del docente, y que la temporada de corte incide de manera medible en la asistencia escolar. La discusión sostiene que la milpa y el cafetal funcionan como un aula paralela cuyo potencial pedagógico permanece parcialmente desaprovechado por el currículo oficial. Se ofrecen implicaciones para la política curricular regional.</w:t>
      </w:r>
    </w:p>
    <w:p>
      <w:pPr>
        <w:jc w:val="both"/>
      </w:pPr>
      <w:r>
        <w:rPr>
          <w:b/>
        </w:rPr>
        <w:t xml:space="preserve">Palabras clave:</w:t>
      </w:r>
      <w:r>
        <w:t xml:space="preserve"> educación indígena, currículo pertinente, Huasteca Poblana</w:t>
      </w:r>
    </w:p>
    <w:p>
      <w:pPr>
        <w:jc w:val="both"/>
      </w:pPr>
      <w:r>
        <w:rPr>
          <w:b/>
        </w:rPr>
        <w:t xml:space="preserve">Abstract. </w:t>
      </w:r>
      <w:r>
        <w:t xml:space="preserve">This article analyzes how local coffee agroecological knowledge is articulated with the official curriculum of indigenous primary education in schools of Xicotepec de Juárez and Tlacuilotepec, Huasteca Poblana. Unlike previous studies on indigenous education in the region, centered on linguistic displacement or teacher certification, this work examines the link between the local coffee economy and school content. A qualitative approach was adopted through a comparative case study in three indigenous primary schools, drawing on a corpus of eighteen documentary sources, including lesson plans, materials from the Indigenous Language and Culture subject, and technical council minutes, and fourteen interviews with ten bilingual teachers and four agroecological promoters. The analysis was organized into four categories: curricular presence of agroecological knowledge, teacher mediation between curriculum and local knowledge, coffee-growing community participation in school life, and tensions between the school calendar and the coffee agricultural cycle. The findings, illustrative data for academic purposes, show that Indigenous Language and Culture offers a formal curricular space for coffee-related knowledge, but that its use depends on individual teacher initiative, and that harvest season measurably affects school attendance. The discussion argues that the milpa and the coffee plot function as a parallel classroom whose pedagogical potential remains partially untapped by the official curriculum. Implications for regional curricular policy are offered.</w:t>
      </w:r>
    </w:p>
    <w:p>
      <w:pPr>
        <w:jc w:val="both"/>
      </w:pPr>
      <w:r>
        <w:rPr>
          <w:b/>
        </w:rPr>
        <w:t xml:space="preserve">Keywords:</w:t>
      </w:r>
      <w:r>
        <w:t xml:space="preserve"> indigenous education, relevant curriculum, Huasteca Poblana</w:t>
      </w:r>
    </w:p>
    <w:p>
      <w:pPr>
        <w:pStyle w:val="Heading1"/>
      </w:pPr>
      <w:r>
        <w:t xml:space="preserve">1. Introducción</w:t>
      </w:r>
    </w:p>
    <w:p>
      <w:pPr>
        <w:jc w:val="both"/>
      </w:pPr>
      <w:r>
        <w:t xml:space="preserve">En la Sierra Norte de Puebla, región que administrativamente se traslapa con lo que este artículo denomina Huasteca Poblana, el café ha sido durante décadas el cultivo comercial que organiza el calendario de vida de las familias totonacas y nahuas de municipios como Xicotepec de Juárez y Tlacuilotepec, donde alrededor de dos terceras partes de la superficie cultivable se dedica al cafetal en asociación con la milpa de maíz, frijol y calabaza (Barrera Rodríguez et al., 2021). En una asamblea comunitaria de intercambio de saberes realizada en Cuetzalan, participantes totonacas y nahuas resumieron esta relación con una frase que sirve de premisa a este artículo: "la milpa es una escuela" (Ellison, 2020). La pregunta que se sigue de esa premisa es igualmente directa: si la milpa y el cafetal ya enseñan, ¿qué relación guarda esa enseñanza con lo que ocurre dentro del aula oficial de la escuela primaria indígena?</w:t>
      </w:r>
    </w:p>
    <w:p>
      <w:pPr>
        <w:jc w:val="both"/>
      </w:pPr>
      <w:r>
        <w:t xml:space="preserve">El problema que motiva este estudio es que esa relación no puede darse por supuesta. La investigación sobre currículo y educación indígena en México ha documentado que los conocimientos y saberes locales de los pueblos originarios rara vez se incorporan de manera sistemática a las propuestas curriculares oficiales, incluso en aquellas diseñadas específicamente para el medio indígena, y que su presencia depende con frecuencia de espacios curriculares acotados y de la disposición de cada docente para llenarlos de contenido situado (Salgado Medina et al., 2018). Un problema paralelo, documentado para comunidades indígenas migrantes de Xicotepec de Juárez, es que la educación en estos contextos no puede pensarse solo como una vía de movilidad económica individual, sino que requiere de estrategias pedagógicas ancladas en la reciprocidad y en el cuidado del entorno, sostenidas por la participación de la familia y de la comunidad más que por la implementación vertical de un plan de estudios (Pérez et al., 2018).</w:t>
      </w:r>
    </w:p>
    <w:p>
      <w:pPr>
        <w:jc w:val="both"/>
      </w:pPr>
      <w:r>
        <w:t xml:space="preserve">La escuela primaria indígena de la Huasteca Poblana opera, en este sentido, en un doble registro. Por un lado, sigue un currículo nacional que incluye una asignatura específica, Lengua y Cultura Indígena, pensada precisamente como espacio para el diálogo entre los conocimientos escolares y los saberes de los pueblos originarios. Por otro lado, convive con un calendario agrícola cafetalero que marca la disponibilidad de tiempo, de mano de obra infantil y de atención de las familias, especialmente durante la temporada de corte, que en la región suele concentrarse entre noviembre y febrero. La literatura sobre educación comunitaria e indígena en la Sierra Norte de Puebla ha documentado experiencias de educación propia que articulan de manera exitosa el conocimiento escolar con la lengua, la filosofía y la agricultura totonacas, como la Preparatoria Totonaca del Centro de Estudios Superiores Indígenas Kgoyom en Huehuetla (Chakravarti, 2023), pero esa experiencia corresponde al nivel medio superior y a un proyecto educativo propio, no a la educación primaria regular que atienden la mayoría de las niñas y los niños indígenas de Xicotepec y Tlacuilotepec.</w:t>
      </w:r>
    </w:p>
    <w:p>
      <w:pPr>
        <w:jc w:val="both"/>
      </w:pPr>
      <w:r>
        <w:t xml:space="preserve">Este artículo se distingue de investigaciones previas sobre la Huasteca Poblana que han examinado el desplazamiento de las lenguas originarias en la escuela o la certificación de los docentes en el dominio del náhuatl, para centrarse específicamente en el vínculo entre los saberes agroecológicos cafetaleros y los contenidos escolares oficiales, un ángulo que la literatura regional no ha explorado de manera sistemática. El </w:t>
      </w:r>
      <w:r>
        <w:rPr>
          <w:b/>
        </w:rPr>
        <w:t xml:space="preserve">objetivo general</w:t>
      </w:r>
      <w:r>
        <w:t xml:space="preserve"> de este artículo es analizar de qué manera los saberes agroecológicos cafetaleros locales se articulan con el currículo oficial de la educación primaria indígena en escuelas de Xicotepec de Juárez y Tlacuilotepec. Dado el carácter cualitativo y comparativo del diseño, no se plantea una hipótesis, sino la siguiente </w:t>
      </w:r>
      <w:r>
        <w:rPr>
          <w:b/>
        </w:rPr>
        <w:t xml:space="preserve">pregunta de investigación</w:t>
      </w:r>
      <w:r>
        <w:t xml:space="preserve">: ¿de qué manera los saberes agroecológicos cafetaleros locales se articulan con el currículo oficial de la educación primaria indígena en escuelas de estos dos municipios de la Huasteca Poblana? Esta pregunta reaparece de manera literal en las secciones de resultados, discusión y conclusiones. La relevancia académica del estudio radica en documentar un vínculo curricular poco estudiado; su relevancia social consiste en ofrecer elementos para que la política educativa regional reconozca a la economía cafetalera no solo como un factor de riesgo para la asistencia escolar, sino como una fuente legítima de contenido pedagógico.</w:t>
      </w:r>
    </w:p>
    <w:p>
      <w:pPr>
        <w:pStyle w:val="Heading1"/>
      </w:pPr>
      <w:r>
        <w:t xml:space="preserve">2. Fundamentación teórica</w:t>
      </w:r>
    </w:p>
    <w:p>
      <w:pPr>
        <w:pStyle w:val="Heading2"/>
      </w:pPr>
      <w:r>
        <w:t xml:space="preserve">2.1. Saberes locales y propuestas curriculares para la educación indígena</w:t>
      </w:r>
    </w:p>
    <w:p>
      <w:pPr>
        <w:jc w:val="both"/>
      </w:pPr>
      <w:r>
        <w:t xml:space="preserve">La investigación de Salgado Medina et al. (2018) compara tres propuestas curriculares mexicanas diseñadas para la educación indígena, entre ellas el programa de licenciatura en Educación Preescolar y Primaria para el Medio Indígena de la Universidad Pedagógica Nacional, y encuentra que la incorporación de conocimientos y saberes locales varía sustancialmente según el grado de participación de docentes y comunidades indígenas en el diseño curricular, siendo mayor en aquellas propuestas construidas con participación directa de maestros indígenas, como el Programa de Educación para los Pueblos Originarios de Michoacán, que en aquellas diseñadas de manera centralizada. Este hallazgo permite anticipar que la sola existencia de un espacio curricular oficial para los saberes locales no garantiza su aprovechamiento efectivo, y que la mediación docente resulta determinante.</w:t>
      </w:r>
    </w:p>
    <w:p>
      <w:pPr>
        <w:jc w:val="both"/>
      </w:pPr>
      <w:r>
        <w:t xml:space="preserve">En una línea metodológica afín, Sartorello (2024) documenta la construcción de una herramienta metodológica, las "milpas educativas", desarrollada de manera colectiva por un colectivo de docentes de educación indígena en comunidades de Chiapas, Puebla, Michoacán y Oaxaca, orientada a sistematizar los saberes, haceres, decires, sentires y valores presentes en las actividades cotidianas del territorio comunitario, para después articularlos de manera intencional con los conocimientos escolares. El autor sostiene que este proceso de sistematización, y no la simple yuxtaposición de "lo indígena" y "lo escolar", es lo que permite una educación intercultural crítica y decolonial. Este marco resulta pertinente para analizar si, y de qué manera, los saberes cafetaleros de Xicotepec y Tlacuilotepec han sido sistematizados de forma semejante o permanecen como conocimiento tácito ajeno al currículo formal.</w:t>
      </w:r>
    </w:p>
    <w:p>
      <w:pPr>
        <w:pStyle w:val="Heading2"/>
      </w:pPr>
      <w:r>
        <w:t xml:space="preserve">2.2. Cosmopolítica territorial y la milpa como espacio de enseñanza</w:t>
      </w:r>
    </w:p>
    <w:p>
      <w:pPr>
        <w:jc w:val="both"/>
      </w:pPr>
      <w:r>
        <w:t xml:space="preserve">Ellison (2020), en su análisis de la cosmopolítica territorial totonaca-nahua en la Sierra Nororiental de Puebla, documenta que comunidades de la región conciben la milpa y el manejo forestal como el mecanismo educativo primario mediante el cual las nuevas generaciones aprenden las relaciones territoriales, y registra la expresión "la milpa es una escuela" como síntesis de esa concepción. El autor advierte que la continuidad de esta forma de conocimiento territorial depende de que las juventudes mantengan y reinventen el manejo de la milpa y del bosque a través de la práctica directa, más que a través de la escolarización formal, lo que sitúa a esta última en una posición ambigua: puede reforzar esa práctica o desplazarla, según cómo se relacione con ella.</w:t>
      </w:r>
    </w:p>
    <w:p>
      <w:pPr>
        <w:pStyle w:val="Heading2"/>
      </w:pPr>
      <w:r>
        <w:t xml:space="preserve">2.3. La economía cafetalera de la Sierra Norte de Puebla</w:t>
      </w:r>
    </w:p>
    <w:p>
      <w:pPr>
        <w:jc w:val="both"/>
      </w:pPr>
      <w:r>
        <w:t xml:space="preserve">El estudio de Barrera Rodríguez et al. (2021) sobre modelos de innovación en la producción de café en la Sierra Norte de Puebla documenta, a partir de una muestra de ochenta y tres productores, la persistencia del cultivo cafetalero como actividad central de la economía campesina regional, con distintos grados de adopción tecnológica en manejo nutricional, control de plagas y organización productiva. Esta persistencia económica del café es la condición material que explica por qué el calendario de corte incide de manera tan directa sobre la vida escolar de las localidades cafetaleras, y por qué los saberes asociados a este cultivo, poda, injerto, beneficio húmedo, selección de variedades, constituyen un cuerpo de conocimiento técnico y culturalmente significativo para las familias de la región.</w:t>
      </w:r>
    </w:p>
    <w:p>
      <w:pPr>
        <w:pStyle w:val="Heading2"/>
      </w:pPr>
      <w:r>
        <w:t xml:space="preserve">2.4. Educación sostenible en comunidades indígenas migrantes de Xicotepec</w:t>
      </w:r>
    </w:p>
    <w:p>
      <w:pPr>
        <w:jc w:val="both"/>
      </w:pPr>
      <w:r>
        <w:t xml:space="preserve">Finalmente, Pérez et al. (2018) argumentan, a partir de su estudio sobre sostenibilidad educativa en una comunidad indígena de migrantes de Xicotepec de Juárez, que la educación pertinente para estos contextos no puede reducirse a una lógica de desarrollo entendida como mera vía de movilidad económica individual, sino que exige estrategias pedagógicas centradas en la reciprocidad, el cuidado ambiental y la atención individualizada, sostenidas por la participación familiar y comunitaria. Este planteamiento es consistente con la idea de que los saberes agroecológicos cafetaleros, en la medida en que ya encarnan una lógica de reciprocidad y cuidado del entorno, podrían constituir un puente pedagógico natural entre la escuela y la comunidad, si el currículo y los docentes logran tender ese puente de manera intencional.</w:t>
      </w:r>
    </w:p>
    <w:p>
      <w:pPr>
        <w:pStyle w:val="Heading1"/>
      </w:pPr>
      <w:r>
        <w:t xml:space="preserve">3. Metodología</w:t>
      </w:r>
    </w:p>
    <w:p>
      <w:pPr>
        <w:pStyle w:val="Heading2"/>
      </w:pPr>
      <w:r>
        <w:t xml:space="preserve">3.1. Enfoque y diseño</w:t>
      </w:r>
    </w:p>
    <w:p>
      <w:pPr>
        <w:jc w:val="both"/>
      </w:pPr>
      <w:r>
        <w:t xml:space="preserve">El estudio adopta un </w:t>
      </w:r>
      <w:r>
        <w:rPr>
          <w:b/>
        </w:rPr>
        <w:t xml:space="preserve">enfoque cualitativo</w:t>
      </w:r>
      <w:r>
        <w:t xml:space="preserve">, mediante un </w:t>
      </w:r>
      <w:r>
        <w:rPr>
          <w:b/>
        </w:rPr>
        <w:t xml:space="preserve">estudio de caso comparativo</w:t>
      </w:r>
      <w:r>
        <w:t xml:space="preserve"> entre tres escuelas primarias indígenas de dos municipios de la Huasteca Poblana: dos escuelas en localidades de Xicotepec de Juárez y una en Tlacuilotepec. El diseño comparativo permite contrastar cómo distintos colectivos docentes, dentro del mismo marco curricular nacional, resuelven de manera diferenciada la articulación entre saberes cafetaleros y contenidos escolares.</w:t>
      </w:r>
    </w:p>
    <w:p>
      <w:pPr>
        <w:pStyle w:val="Heading2"/>
      </w:pPr>
      <w:r>
        <w:t xml:space="preserve">3.2. Corpus y participantes</w:t>
      </w:r>
    </w:p>
    <w:p>
      <w:pPr>
        <w:jc w:val="both"/>
      </w:pPr>
      <w:r>
        <w:t xml:space="preserve">El corpus documental está integrado por </w:t>
      </w:r>
      <w:r>
        <w:rPr>
          <w:b/>
        </w:rPr>
        <w:t xml:space="preserve">dieciocho fuentes</w:t>
      </w:r>
      <w:r>
        <w:t xml:space="preserve">: las planeaciones didácticas de la asignatura de Lengua y Cultura Indígena del ciclo escolar en curso en las tres escuelas, los materiales y proyectos escolares vinculados a temas agrícolas disponibles en cada plantel, y las actas de consejo técnico escolar de los dos ciclos previos. De manera complementaria, se realizaron </w:t>
      </w:r>
      <w:r>
        <w:rPr>
          <w:b/>
        </w:rPr>
        <w:t xml:space="preserve">catorce entrevistas semiestructuradas</w:t>
      </w:r>
      <w:r>
        <w:t xml:space="preserve">: diez a docentes bilingües, entre tres y cuatro por escuela, y cuatro a promotores agroecológicos vinculados a cooperativas cafetaleras locales que colaboran ocasionalmente con las escuelas de la región. Se trata de un corpus y una muestra ilustrativos y no probabilísticos. La Tabla 1 describe las escuelas participantes.</w:t>
      </w:r>
    </w:p>
    <w:p>
      <w:pPr>
        <w:jc w:val="center"/>
        <w:spacing w:after="80"/>
      </w:pPr>
      <w:r>
        <w:rPr>
          <w:b/>
          <w:sz w:val="20"/>
          <w:szCs w:val="20"/>
        </w:rPr>
        <w:t xml:space="preserve">Tabla 1. Escuelas primarias indígenas participantes por municipio y características generales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 (localidad, municipio)</w:t>
            </w:r>
          </w:p>
        </w:tc>
        <w:tc>
          <w:tcPr>
            <w:tcW w:w="2340" w:type="dxa"/>
            <w:shd w:val="clear" w:color="auto" w:fill="D6EAF8"/>
            <w:vAlign w:val="center"/>
          </w:tcPr>
          <w:p>
            <w:pPr>
              <w:jc w:val="center"/>
            </w:pPr>
            <w:r>
              <w:rPr>
                <w:b/>
                <w:sz w:val="20"/>
                <w:szCs w:val="20"/>
              </w:rPr>
              <w:t xml:space="preserve">Matrícula (dato ilustrativo)</w:t>
            </w:r>
          </w:p>
        </w:tc>
        <w:tc>
          <w:tcPr>
            <w:tcW w:w="2340" w:type="dxa"/>
            <w:shd w:val="clear" w:color="auto" w:fill="D6EAF8"/>
            <w:vAlign w:val="center"/>
          </w:tcPr>
          <w:p>
            <w:pPr>
              <w:jc w:val="center"/>
            </w:pPr>
            <w:r>
              <w:rPr>
                <w:b/>
                <w:sz w:val="20"/>
                <w:szCs w:val="20"/>
              </w:rPr>
              <w:t xml:space="preserve">Lengua predominante</w:t>
            </w:r>
          </w:p>
        </w:tc>
        <w:tc>
          <w:tcPr>
            <w:tcW w:w="2340" w:type="dxa"/>
            <w:shd w:val="clear" w:color="auto" w:fill="D6EAF8"/>
            <w:vAlign w:val="center"/>
          </w:tcPr>
          <w:p>
            <w:pPr>
              <w:jc w:val="center"/>
            </w:pPr>
            <w:r>
              <w:rPr>
                <w:b/>
                <w:sz w:val="20"/>
                <w:szCs w:val="20"/>
              </w:rPr>
              <w:t xml:space="preserve">Docentes bilingües entrevistados</w:t>
            </w:r>
          </w:p>
        </w:tc>
      </w:tr>
      <w:tr>
        <w:tc>
          <w:tcPr>
            <w:tcW w:w="2340" w:type="dxa"/>
            <w:shd w:val="clear" w:color="auto" w:fill="F4F8FB"/>
            <w:vAlign w:val="center"/>
          </w:tcPr>
          <w:p>
            <w:pPr>
              <w:jc w:val="left"/>
            </w:pPr>
            <w:r>
              <w:rPr>
                <w:sz w:val="20"/>
                <w:szCs w:val="20"/>
              </w:rPr>
              <w:t xml:space="preserve">Escuela 1 (Villa Ávila Camacho, Xicotepec)</w:t>
            </w:r>
          </w:p>
        </w:tc>
        <w:tc>
          <w:tcPr>
            <w:tcW w:w="2340" w:type="dxa"/>
            <w:shd w:val="clear" w:color="auto" w:fill="F4F8FB"/>
            <w:vAlign w:val="center"/>
          </w:tcPr>
          <w:p>
            <w:pPr>
              <w:jc w:val="center"/>
            </w:pPr>
            <w:r>
              <w:rPr>
                <w:sz w:val="20"/>
                <w:szCs w:val="20"/>
              </w:rPr>
              <w:t xml:space="preserve">96</w:t>
            </w:r>
          </w:p>
        </w:tc>
        <w:tc>
          <w:tcPr>
            <w:tcW w:w="2340" w:type="dxa"/>
            <w:shd w:val="clear" w:color="auto" w:fill="F4F8FB"/>
            <w:vAlign w:val="center"/>
          </w:tcPr>
          <w:p>
            <w:pPr>
              <w:jc w:val="center"/>
            </w:pPr>
            <w:r>
              <w:rPr>
                <w:sz w:val="20"/>
                <w:szCs w:val="20"/>
              </w:rPr>
              <w:t xml:space="preserve">Totonaco</w:t>
            </w:r>
          </w:p>
        </w:tc>
        <w:tc>
          <w:tcPr>
            <w:tcW w:w="2340" w:type="dxa"/>
            <w:shd w:val="clear" w:color="auto" w:fill="F4F8FB"/>
            <w:vAlign w:val="center"/>
          </w:tcPr>
          <w:p>
            <w:pPr>
              <w:jc w:val="center"/>
            </w:pPr>
            <w:r>
              <w:rPr>
                <w:sz w:val="20"/>
                <w:szCs w:val="20"/>
              </w:rPr>
              <w:t xml:space="preserve">4</w:t>
            </w:r>
          </w:p>
        </w:tc>
      </w:tr>
      <w:tr>
        <w:tc>
          <w:tcPr>
            <w:tcW w:w="2340" w:type="dxa"/>
            <w:shd w:val="clear" w:color="auto" w:fill="FFFFFF"/>
            <w:vAlign w:val="center"/>
          </w:tcPr>
          <w:p>
            <w:pPr>
              <w:jc w:val="left"/>
            </w:pPr>
            <w:r>
              <w:rPr>
                <w:sz w:val="20"/>
                <w:szCs w:val="20"/>
              </w:rPr>
              <w:t xml:space="preserve">Escuela 2 (Xicotepec de Juárez, cabecera)</w:t>
            </w:r>
          </w:p>
        </w:tc>
        <w:tc>
          <w:tcPr>
            <w:tcW w:w="2340" w:type="dxa"/>
            <w:shd w:val="clear" w:color="auto" w:fill="FFFFFF"/>
            <w:vAlign w:val="center"/>
          </w:tcPr>
          <w:p>
            <w:pPr>
              <w:jc w:val="center"/>
            </w:pPr>
            <w:r>
              <w:rPr>
                <w:sz w:val="20"/>
                <w:szCs w:val="20"/>
              </w:rPr>
              <w:t xml:space="preserve">132</w:t>
            </w:r>
          </w:p>
        </w:tc>
        <w:tc>
          <w:tcPr>
            <w:tcW w:w="2340" w:type="dxa"/>
            <w:shd w:val="clear" w:color="auto" w:fill="FFFFFF"/>
            <w:vAlign w:val="center"/>
          </w:tcPr>
          <w:p>
            <w:pPr>
              <w:jc w:val="center"/>
            </w:pPr>
            <w:r>
              <w:rPr>
                <w:sz w:val="20"/>
                <w:szCs w:val="20"/>
              </w:rPr>
              <w:t xml:space="preserve">Totonaco y náhuatl</w:t>
            </w:r>
          </w:p>
        </w:tc>
        <w:tc>
          <w:tcPr>
            <w:tcW w:w="2340" w:type="dxa"/>
            <w:shd w:val="clear" w:color="auto" w:fill="FFFFFF"/>
            <w:vAlign w:val="center"/>
          </w:tcPr>
          <w:p>
            <w:pPr>
              <w:jc w:val="center"/>
            </w:pPr>
            <w:r>
              <w:rPr>
                <w:sz w:val="20"/>
                <w:szCs w:val="20"/>
              </w:rPr>
              <w:t xml:space="preserve">3</w:t>
            </w:r>
          </w:p>
        </w:tc>
      </w:tr>
      <w:tr>
        <w:tc>
          <w:tcPr>
            <w:tcW w:w="2340" w:type="dxa"/>
            <w:shd w:val="clear" w:color="auto" w:fill="F4F8FB"/>
            <w:vAlign w:val="center"/>
          </w:tcPr>
          <w:p>
            <w:pPr>
              <w:jc w:val="left"/>
            </w:pPr>
            <w:r>
              <w:rPr>
                <w:sz w:val="20"/>
                <w:szCs w:val="20"/>
              </w:rPr>
              <w:t xml:space="preserve">Escuela 3 (Tlacuilotepec)</w:t>
            </w:r>
          </w:p>
        </w:tc>
        <w:tc>
          <w:tcPr>
            <w:tcW w:w="2340" w:type="dxa"/>
            <w:shd w:val="clear" w:color="auto" w:fill="F4F8FB"/>
            <w:vAlign w:val="center"/>
          </w:tcPr>
          <w:p>
            <w:pPr>
              <w:jc w:val="center"/>
            </w:pPr>
            <w:r>
              <w:rPr>
                <w:sz w:val="20"/>
                <w:szCs w:val="20"/>
              </w:rPr>
              <w:t xml:space="preserve">74</w:t>
            </w:r>
          </w:p>
        </w:tc>
        <w:tc>
          <w:tcPr>
            <w:tcW w:w="2340" w:type="dxa"/>
            <w:shd w:val="clear" w:color="auto" w:fill="F4F8FB"/>
            <w:vAlign w:val="center"/>
          </w:tcPr>
          <w:p>
            <w:pPr>
              <w:jc w:val="center"/>
            </w:pPr>
            <w:r>
              <w:rPr>
                <w:sz w:val="20"/>
                <w:szCs w:val="20"/>
              </w:rPr>
              <w:t xml:space="preserve">Náhuatl</w:t>
            </w:r>
          </w:p>
        </w:tc>
        <w:tc>
          <w:tcPr>
            <w:tcW w:w="2340" w:type="dxa"/>
            <w:shd w:val="clear" w:color="auto" w:fill="F4F8FB"/>
            <w:vAlign w:val="center"/>
          </w:tcPr>
          <w:p>
            <w:pPr>
              <w:jc w:val="center"/>
            </w:pPr>
            <w:r>
              <w:rPr>
                <w:sz w:val="20"/>
                <w:szCs w:val="20"/>
              </w:rPr>
              <w:t xml:space="preserve">3</w:t>
            </w:r>
          </w:p>
        </w:tc>
      </w:tr>
    </w:tbl>
    <w:p>
      <w:pPr>
        <w:spacing w:after="200"/>
      </w:pPr>
    </w:p>
    <w:p>
      <w:pPr>
        <w:pStyle w:val="Heading2"/>
      </w:pPr>
      <w:r>
        <w:t xml:space="preserve">3.3. Categorías y procedimiento de análisis</w:t>
      </w:r>
    </w:p>
    <w:p>
      <w:pPr>
        <w:jc w:val="both"/>
      </w:pPr>
      <w:r>
        <w:t xml:space="preserve">El análisis fue </w:t>
      </w:r>
      <w:r>
        <w:rPr>
          <w:b/>
        </w:rPr>
        <w:t xml:space="preserve">temático de contenido</w:t>
      </w:r>
      <w:r>
        <w:t xml:space="preserve">, organizado en cuatro categorías: 1) presencia curricular oficial de los saberes agroecológicos cafetaleros, principalmente en la asignatura de Lengua y Cultura Indígena y en proyectos escolares; 2) mediación docente entre el currículo oficial y los saberes locales del café y la milpa; 3) participación de promotores y cooperativas cafetaleras en la vida escolar; y 4) tensiones entre el calendario escolar y el ciclo agrícola del café, en particular la temporada de corte. El procedimiento comprendió codificación temática de entrevistas y documentos, construcción de matrices comparativas entre las tres escuelas, y triangulación entre el discurso docente, el de los promotores agroecológicos y los registros documentales. Las cifras y los nombres de localidades presentados en Resultados son </w:t>
      </w:r>
      <w:r>
        <w:rPr>
          <w:b/>
        </w:rPr>
        <w:t xml:space="preserve">datos ilustrativos con fines académicos</w:t>
      </w:r>
      <w:r>
        <w:t xml:space="preserve">.</w:t>
      </w:r>
    </w:p>
    <w:p>
      <w:pPr>
        <w:pStyle w:val="Heading1"/>
      </w:pPr>
      <w:r>
        <w:t xml:space="preserve">4. Resultados</w:t>
      </w:r>
    </w:p>
    <w:p>
      <w:pPr>
        <w:jc w:val="both"/>
      </w:pPr>
      <w:r>
        <w:t xml:space="preserve">Los resultados se organizan según las cuatro categorías anunciadas y responden de manera directa a la pregunta de investigación.</w:t>
      </w:r>
    </w:p>
    <w:p>
      <w:pPr>
        <w:pStyle w:val="Heading2"/>
      </w:pPr>
      <w:r>
        <w:t xml:space="preserve">4.1. Presencia curricular oficial de los saberes agroecológicos</w:t>
      </w:r>
    </w:p>
    <w:p>
      <w:pPr>
        <w:jc w:val="both"/>
      </w:pPr>
      <w:r>
        <w:t xml:space="preserve">Las planeaciones de Lengua y Cultura Indígena de las tres escuelas incluyen, en mayor o menor medida, contenidos relacionados con el ciclo agrícola local, aunque con un peso curricular desigual. La Escuela 1 dedicó, según su planeación anual, el mayor número de sesiones explícitas a temas de milpa y cafetal, mientras que la Escuela 3 los trató de manera más incidental, subordinados a la enseñanza de vocabulario náhuatl. La Figura 1 muestra el número ilustrativo de sesiones anuales con contenido agroecológico explícito por escuela.</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Sesiones anuales con contenido agroecológico cafetalero explícito por escuela (dato ilustrativo). Datos ilustrativos con fines académicos.</w:t>
      </w:r>
    </w:p>
    <w:p>
      <w:pPr>
        <w:jc w:val="both"/>
      </w:pPr>
      <w:r>
        <w:t xml:space="preserve">Ningún docente entrevistado reportó el uso de una herramienta de sistematización semejante a las "milpas educativas" descritas por Sartorello (2024); la incorporación de saberes cafetaleros se apoyó, en los tres casos, en el conocimiento personal del docente sobre la comunidad y no en un instrumento curricular formal compartido entre escuelas.</w:t>
      </w:r>
    </w:p>
    <w:p>
      <w:pPr>
        <w:pStyle w:val="Heading2"/>
      </w:pPr>
      <w:r>
        <w:t xml:space="preserve">4.2. Mediación docente entre currículo oficial y saberes locales</w:t>
      </w:r>
    </w:p>
    <w:p>
      <w:pPr>
        <w:jc w:val="both"/>
      </w:pPr>
      <w:r>
        <w:t xml:space="preserve">La segunda categoría confirma el papel determinante de la iniciativa docente señalado por Salgado Medina et al. (2018). Los docentes de la Escuela 1, todos originarios de la propia localidad y con experiencia previa como jornaleros cafetaleros, describieron con detalle cómo diseñan actividades que llevan al aula el vocabulario totonaco del cultivo, la poda y la selección del grano, mientras que docentes de la Escuela 3, con menor arraigo local, señalaron sentirse menos preparados para desarrollar contenidos agrícolas específicos más allá del vocabulario general. La Tabla 2 sintetiza, de forma ilustrativa, el perfil docente por escuela.</w:t>
      </w:r>
    </w:p>
    <w:p>
      <w:pPr>
        <w:jc w:val="center"/>
        <w:spacing w:after="80"/>
      </w:pPr>
      <w:r>
        <w:rPr>
          <w:b/>
          <w:sz w:val="20"/>
          <w:szCs w:val="20"/>
        </w:rPr>
        <w:t xml:space="preserve">Tabla 2. Perfil docente ilustrativo por escuela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w:t>
            </w:r>
          </w:p>
        </w:tc>
        <w:tc>
          <w:tcPr>
            <w:tcW w:w="2340" w:type="dxa"/>
            <w:shd w:val="clear" w:color="auto" w:fill="D6EAF8"/>
            <w:vAlign w:val="center"/>
          </w:tcPr>
          <w:p>
            <w:pPr>
              <w:jc w:val="center"/>
            </w:pPr>
            <w:r>
              <w:rPr>
                <w:b/>
                <w:sz w:val="20"/>
                <w:szCs w:val="20"/>
              </w:rPr>
              <w:t xml:space="preserve">Docentes originarios de la localidad</w:t>
            </w:r>
          </w:p>
        </w:tc>
        <w:tc>
          <w:tcPr>
            <w:tcW w:w="2340" w:type="dxa"/>
            <w:shd w:val="clear" w:color="auto" w:fill="D6EAF8"/>
            <w:vAlign w:val="center"/>
          </w:tcPr>
          <w:p>
            <w:pPr>
              <w:jc w:val="center"/>
            </w:pPr>
            <w:r>
              <w:rPr>
                <w:b/>
                <w:sz w:val="20"/>
                <w:szCs w:val="20"/>
              </w:rPr>
              <w:t xml:space="preserve">Docentes con experiencia previa en el cultivo del café</w:t>
            </w:r>
          </w:p>
        </w:tc>
        <w:tc>
          <w:tcPr>
            <w:tcW w:w="2340" w:type="dxa"/>
            <w:shd w:val="clear" w:color="auto" w:fill="D6EAF8"/>
            <w:vAlign w:val="center"/>
          </w:tcPr>
          <w:p>
            <w:pPr>
              <w:jc w:val="center"/>
            </w:pPr>
            <w:r>
              <w:rPr>
                <w:b/>
                <w:sz w:val="20"/>
                <w:szCs w:val="20"/>
              </w:rPr>
              <w:t xml:space="preserve">Años promedio de servicio en la escuela</w:t>
            </w:r>
          </w:p>
        </w:tc>
      </w:tr>
      <w:tr>
        <w:tc>
          <w:tcPr>
            <w:tcW w:w="2340" w:type="dxa"/>
            <w:shd w:val="clear" w:color="auto" w:fill="F4F8FB"/>
            <w:vAlign w:val="center"/>
          </w:tcPr>
          <w:p>
            <w:pPr>
              <w:jc w:val="left"/>
            </w:pPr>
            <w:r>
              <w:rPr>
                <w:sz w:val="20"/>
                <w:szCs w:val="20"/>
              </w:rPr>
              <w:t xml:space="preserve">Escuela 1</w:t>
            </w:r>
          </w:p>
        </w:tc>
        <w:tc>
          <w:tcPr>
            <w:tcW w:w="2340" w:type="dxa"/>
            <w:shd w:val="clear" w:color="auto" w:fill="F4F8FB"/>
            <w:vAlign w:val="center"/>
          </w:tcPr>
          <w:p>
            <w:pPr>
              <w:jc w:val="center"/>
            </w:pPr>
            <w:r>
              <w:rPr>
                <w:sz w:val="20"/>
                <w:szCs w:val="20"/>
              </w:rPr>
              <w:t xml:space="preserve">4 de 4</w:t>
            </w:r>
          </w:p>
        </w:tc>
        <w:tc>
          <w:tcPr>
            <w:tcW w:w="2340" w:type="dxa"/>
            <w:shd w:val="clear" w:color="auto" w:fill="F4F8FB"/>
            <w:vAlign w:val="center"/>
          </w:tcPr>
          <w:p>
            <w:pPr>
              <w:jc w:val="center"/>
            </w:pPr>
            <w:r>
              <w:rPr>
                <w:sz w:val="20"/>
                <w:szCs w:val="20"/>
              </w:rPr>
              <w:t xml:space="preserve">3 de 4</w:t>
            </w:r>
          </w:p>
        </w:tc>
        <w:tc>
          <w:tcPr>
            <w:tcW w:w="2340" w:type="dxa"/>
            <w:shd w:val="clear" w:color="auto" w:fill="F4F8FB"/>
            <w:vAlign w:val="center"/>
          </w:tcPr>
          <w:p>
            <w:pPr>
              <w:jc w:val="center"/>
            </w:pPr>
            <w:r>
              <w:rPr>
                <w:sz w:val="20"/>
                <w:szCs w:val="20"/>
              </w:rPr>
              <w:t xml:space="preserve">6.5</w:t>
            </w:r>
          </w:p>
        </w:tc>
      </w:tr>
      <w:tr>
        <w:tc>
          <w:tcPr>
            <w:tcW w:w="2340" w:type="dxa"/>
            <w:shd w:val="clear" w:color="auto" w:fill="FFFFFF"/>
            <w:vAlign w:val="center"/>
          </w:tcPr>
          <w:p>
            <w:pPr>
              <w:jc w:val="left"/>
            </w:pPr>
            <w:r>
              <w:rPr>
                <w:sz w:val="20"/>
                <w:szCs w:val="20"/>
              </w:rPr>
              <w:t xml:space="preserve">Escuela 2</w:t>
            </w:r>
          </w:p>
        </w:tc>
        <w:tc>
          <w:tcPr>
            <w:tcW w:w="2340" w:type="dxa"/>
            <w:shd w:val="clear" w:color="auto" w:fill="FFFFFF"/>
            <w:vAlign w:val="center"/>
          </w:tcPr>
          <w:p>
            <w:pPr>
              <w:jc w:val="center"/>
            </w:pPr>
            <w:r>
              <w:rPr>
                <w:sz w:val="20"/>
                <w:szCs w:val="20"/>
              </w:rPr>
              <w:t xml:space="preserve">2 de 3</w:t>
            </w:r>
          </w:p>
        </w:tc>
        <w:tc>
          <w:tcPr>
            <w:tcW w:w="2340" w:type="dxa"/>
            <w:shd w:val="clear" w:color="auto" w:fill="FFFFFF"/>
            <w:vAlign w:val="center"/>
          </w:tcPr>
          <w:p>
            <w:pPr>
              <w:jc w:val="center"/>
            </w:pPr>
            <w:r>
              <w:rPr>
                <w:sz w:val="20"/>
                <w:szCs w:val="20"/>
              </w:rPr>
              <w:t xml:space="preserve">1 de 3</w:t>
            </w:r>
          </w:p>
        </w:tc>
        <w:tc>
          <w:tcPr>
            <w:tcW w:w="2340" w:type="dxa"/>
            <w:shd w:val="clear" w:color="auto" w:fill="FFFFFF"/>
            <w:vAlign w:val="center"/>
          </w:tcPr>
          <w:p>
            <w:pPr>
              <w:jc w:val="center"/>
            </w:pPr>
            <w:r>
              <w:rPr>
                <w:sz w:val="20"/>
                <w:szCs w:val="20"/>
              </w:rPr>
              <w:t xml:space="preserve">4.0</w:t>
            </w:r>
          </w:p>
        </w:tc>
      </w:tr>
      <w:tr>
        <w:tc>
          <w:tcPr>
            <w:tcW w:w="2340" w:type="dxa"/>
            <w:shd w:val="clear" w:color="auto" w:fill="F4F8FB"/>
            <w:vAlign w:val="center"/>
          </w:tcPr>
          <w:p>
            <w:pPr>
              <w:jc w:val="left"/>
            </w:pPr>
            <w:r>
              <w:rPr>
                <w:sz w:val="20"/>
                <w:szCs w:val="20"/>
              </w:rPr>
              <w:t xml:space="preserve">Escuela 3</w:t>
            </w:r>
          </w:p>
        </w:tc>
        <w:tc>
          <w:tcPr>
            <w:tcW w:w="2340" w:type="dxa"/>
            <w:shd w:val="clear" w:color="auto" w:fill="F4F8FB"/>
            <w:vAlign w:val="center"/>
          </w:tcPr>
          <w:p>
            <w:pPr>
              <w:jc w:val="center"/>
            </w:pPr>
            <w:r>
              <w:rPr>
                <w:sz w:val="20"/>
                <w:szCs w:val="20"/>
              </w:rPr>
              <w:t xml:space="preserve">1 de 3</w:t>
            </w:r>
          </w:p>
        </w:tc>
        <w:tc>
          <w:tcPr>
            <w:tcW w:w="2340" w:type="dxa"/>
            <w:shd w:val="clear" w:color="auto" w:fill="F4F8FB"/>
            <w:vAlign w:val="center"/>
          </w:tcPr>
          <w:p>
            <w:pPr>
              <w:jc w:val="center"/>
            </w:pPr>
            <w:r>
              <w:rPr>
                <w:sz w:val="20"/>
                <w:szCs w:val="20"/>
              </w:rPr>
              <w:t xml:space="preserve">0 de 3</w:t>
            </w:r>
          </w:p>
        </w:tc>
        <w:tc>
          <w:tcPr>
            <w:tcW w:w="2340" w:type="dxa"/>
            <w:shd w:val="clear" w:color="auto" w:fill="F4F8FB"/>
            <w:vAlign w:val="center"/>
          </w:tcPr>
          <w:p>
            <w:pPr>
              <w:jc w:val="center"/>
            </w:pPr>
            <w:r>
              <w:rPr>
                <w:sz w:val="20"/>
                <w:szCs w:val="20"/>
              </w:rPr>
              <w:t xml:space="preserve">2.3</w:t>
            </w:r>
          </w:p>
        </w:tc>
      </w:tr>
    </w:tbl>
    <w:p>
      <w:pPr>
        <w:spacing w:after="200"/>
      </w:pPr>
    </w:p>
    <w:p>
      <w:pPr>
        <w:pStyle w:val="Heading2"/>
      </w:pPr>
      <w:r>
        <w:t xml:space="preserve">4.3. Participación de promotores y cooperativas cafetaleras</w:t>
      </w:r>
    </w:p>
    <w:p>
      <w:pPr>
        <w:jc w:val="both"/>
      </w:pPr>
      <w:r>
        <w:t xml:space="preserve">La tercera categoría muestra una participación comunitaria acotada, pero valorada positivamente cuando ocurre. Los cuatro promotores agroecológicos entrevistados, vinculados a cooperativas cafetaleras de la región, relataron haber colaborado en algún momento con la Escuela 1 mediante visitas guiadas a parcelas demostrativas de manejo agroecológico del cafetal, una práctica que no se documentó para las Escuelas 2 y 3. Los promotores atribuyeron esta diferencia a relaciones personales previas con el director de la Escuela 1, más que a un convenio institucional entre la cooperativa y la escuela, lo que sugiere que esta forma de participación comunitaria depende todavía de vínculos informales y no de una política escolar sistemática.</w:t>
      </w:r>
    </w:p>
    <w:p>
      <w:pPr>
        <w:pStyle w:val="Heading2"/>
      </w:pPr>
      <w:r>
        <w:t xml:space="preserve">4.4. Tensiones entre el calendario escolar y el ciclo agrícola del café</w:t>
      </w:r>
    </w:p>
    <w:p>
      <w:pPr>
        <w:jc w:val="both"/>
      </w:pPr>
      <w:r>
        <w:t xml:space="preserve">La cuarta categoría resulta especialmente relevante para la pregunta de investigación. Las actas de consejo técnico de las tres escuelas registraron, como dato ilustrativo, un incremento de la inasistencia durante los meses de corte de café, de noviembre a febrero, atribuido por los docentes a la incorporación de niñas y niños a las labores de cosecha en parcelas familiares. La Escuela 3, ubicada en una zona con menor diversificación económica, registró el mayor incremento relativo de inasistencia en ese periodo.</w:t>
      </w:r>
    </w:p>
    <w:p>
      <w:pPr>
        <w:jc w:val="center"/>
        <w:spacing w:after="80"/>
      </w:pPr>
      <w:r>
        <w:rPr>
          <w:b/>
          <w:sz w:val="20"/>
          <w:szCs w:val="20"/>
        </w:rPr>
        <w:t xml:space="preserve">Tabla 3. Inasistencia promedio mensual ilustrativa durante la temporada de corte de café, por escuela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Escuela</w:t>
            </w:r>
          </w:p>
        </w:tc>
        <w:tc>
          <w:tcPr>
            <w:tcW w:w="3120" w:type="dxa"/>
            <w:shd w:val="clear" w:color="auto" w:fill="D6EAF8"/>
            <w:vAlign w:val="center"/>
          </w:tcPr>
          <w:p>
            <w:pPr>
              <w:jc w:val="center"/>
            </w:pPr>
            <w:r>
              <w:rPr>
                <w:b/>
                <w:sz w:val="20"/>
                <w:szCs w:val="20"/>
              </w:rPr>
              <w:t xml:space="preserve">Inasistencia promedio fuera de temporada (días/mes)</w:t>
            </w:r>
          </w:p>
        </w:tc>
        <w:tc>
          <w:tcPr>
            <w:tcW w:w="3120" w:type="dxa"/>
            <w:shd w:val="clear" w:color="auto" w:fill="D6EAF8"/>
            <w:vAlign w:val="center"/>
          </w:tcPr>
          <w:p>
            <w:pPr>
              <w:jc w:val="center"/>
            </w:pPr>
            <w:r>
              <w:rPr>
                <w:b/>
                <w:sz w:val="20"/>
                <w:szCs w:val="20"/>
              </w:rPr>
              <w:t xml:space="preserve">Inasistencia promedio en temporada de corte (días/mes)</w:t>
            </w:r>
          </w:p>
        </w:tc>
      </w:tr>
      <w:tr>
        <w:tc>
          <w:tcPr>
            <w:tcW w:w="3120" w:type="dxa"/>
            <w:shd w:val="clear" w:color="auto" w:fill="F4F8FB"/>
            <w:vAlign w:val="center"/>
          </w:tcPr>
          <w:p>
            <w:pPr>
              <w:jc w:val="left"/>
            </w:pPr>
            <w:r>
              <w:rPr>
                <w:sz w:val="20"/>
                <w:szCs w:val="20"/>
              </w:rPr>
              <w:t xml:space="preserve">Escuela 1</w:t>
            </w:r>
          </w:p>
        </w:tc>
        <w:tc>
          <w:tcPr>
            <w:tcW w:w="3120" w:type="dxa"/>
            <w:shd w:val="clear" w:color="auto" w:fill="F4F8FB"/>
            <w:vAlign w:val="center"/>
          </w:tcPr>
          <w:p>
            <w:pPr>
              <w:jc w:val="center"/>
            </w:pPr>
            <w:r>
              <w:rPr>
                <w:sz w:val="20"/>
                <w:szCs w:val="20"/>
              </w:rPr>
              <w:t xml:space="preserve">1.2</w:t>
            </w:r>
          </w:p>
        </w:tc>
        <w:tc>
          <w:tcPr>
            <w:tcW w:w="3120" w:type="dxa"/>
            <w:shd w:val="clear" w:color="auto" w:fill="F4F8FB"/>
            <w:vAlign w:val="center"/>
          </w:tcPr>
          <w:p>
            <w:pPr>
              <w:jc w:val="center"/>
            </w:pPr>
            <w:r>
              <w:rPr>
                <w:sz w:val="20"/>
                <w:szCs w:val="20"/>
              </w:rPr>
              <w:t xml:space="preserve">2.6</w:t>
            </w:r>
          </w:p>
        </w:tc>
      </w:tr>
      <w:tr>
        <w:tc>
          <w:tcPr>
            <w:tcW w:w="3120" w:type="dxa"/>
            <w:shd w:val="clear" w:color="auto" w:fill="FFFFFF"/>
            <w:vAlign w:val="center"/>
          </w:tcPr>
          <w:p>
            <w:pPr>
              <w:jc w:val="left"/>
            </w:pPr>
            <w:r>
              <w:rPr>
                <w:sz w:val="20"/>
                <w:szCs w:val="20"/>
              </w:rPr>
              <w:t xml:space="preserve">Escuela 2</w:t>
            </w:r>
          </w:p>
        </w:tc>
        <w:tc>
          <w:tcPr>
            <w:tcW w:w="3120" w:type="dxa"/>
            <w:shd w:val="clear" w:color="auto" w:fill="FFFFFF"/>
            <w:vAlign w:val="center"/>
          </w:tcPr>
          <w:p>
            <w:pPr>
              <w:jc w:val="center"/>
            </w:pPr>
            <w:r>
              <w:rPr>
                <w:sz w:val="20"/>
                <w:szCs w:val="20"/>
              </w:rPr>
              <w:t xml:space="preserve">1.4</w:t>
            </w:r>
          </w:p>
        </w:tc>
        <w:tc>
          <w:tcPr>
            <w:tcW w:w="3120" w:type="dxa"/>
            <w:shd w:val="clear" w:color="auto" w:fill="FFFFFF"/>
            <w:vAlign w:val="center"/>
          </w:tcPr>
          <w:p>
            <w:pPr>
              <w:jc w:val="center"/>
            </w:pPr>
            <w:r>
              <w:rPr>
                <w:sz w:val="20"/>
                <w:szCs w:val="20"/>
              </w:rPr>
              <w:t xml:space="preserve">2.9</w:t>
            </w:r>
          </w:p>
        </w:tc>
      </w:tr>
      <w:tr>
        <w:tc>
          <w:tcPr>
            <w:tcW w:w="3120" w:type="dxa"/>
            <w:shd w:val="clear" w:color="auto" w:fill="F4F8FB"/>
            <w:vAlign w:val="center"/>
          </w:tcPr>
          <w:p>
            <w:pPr>
              <w:jc w:val="left"/>
            </w:pPr>
            <w:r>
              <w:rPr>
                <w:sz w:val="20"/>
                <w:szCs w:val="20"/>
              </w:rPr>
              <w:t xml:space="preserve">Escuela 3</w:t>
            </w:r>
          </w:p>
        </w:tc>
        <w:tc>
          <w:tcPr>
            <w:tcW w:w="3120" w:type="dxa"/>
            <w:shd w:val="clear" w:color="auto" w:fill="F4F8FB"/>
            <w:vAlign w:val="center"/>
          </w:tcPr>
          <w:p>
            <w:pPr>
              <w:jc w:val="center"/>
            </w:pPr>
            <w:r>
              <w:rPr>
                <w:sz w:val="20"/>
                <w:szCs w:val="20"/>
              </w:rPr>
              <w:t xml:space="preserve">1.1</w:t>
            </w:r>
          </w:p>
        </w:tc>
        <w:tc>
          <w:tcPr>
            <w:tcW w:w="3120" w:type="dxa"/>
            <w:shd w:val="clear" w:color="auto" w:fill="F4F8FB"/>
            <w:vAlign w:val="center"/>
          </w:tcPr>
          <w:p>
            <w:pPr>
              <w:jc w:val="center"/>
            </w:pPr>
            <w:r>
              <w:rPr>
                <w:sz w:val="20"/>
                <w:szCs w:val="20"/>
              </w:rPr>
              <w:t xml:space="preserve">3.8</w:t>
            </w:r>
          </w:p>
        </w:tc>
      </w:tr>
    </w:tbl>
    <w:p>
      <w:pPr>
        <w:spacing w:after="200"/>
      </w:pPr>
    </w:p>
    <w:p>
      <w:pPr>
        <w:jc w:val="both"/>
      </w:pPr>
      <w:r>
        <w:t xml:space="preserve">Resulta significativo que la Escuela 1, la que más sesiones agroecológicas explícitas incluye en su planeación, no fue la que registró menor inasistencia en temporada de corte, lo que indica que la articulación curricular de los saberes cafetaleros y la reducción del ausentismo estacional son fenómenos relacionados pero no directamente dependientes entre sí.</w:t>
      </w:r>
    </w:p>
    <w:p>
      <w:pPr>
        <w:pStyle w:val="Heading1"/>
      </w:pPr>
      <w:r>
        <w:t xml:space="preserve">5. Discusión</w:t>
      </w:r>
    </w:p>
    <w:p>
      <w:pPr>
        <w:jc w:val="both"/>
      </w:pPr>
      <w:r>
        <w:t xml:space="preserve">Los hallazgos permiten responder la pregunta de investigación de manera matizada: los saberes agroecológicos cafetaleros locales se articulan con el currículo oficial de la educación primaria indígena de Xicotepec y Tlacuilotepec de forma desigual y dependiente de la mediación docente, más que de un diseño curricular sistemático. La pregunta se responde, en consecuencia, de forma afirmativa en cuanto a que existe articulación, pero con reservas importantes en cuanto a su carácter fragmentario e informal.</w:t>
      </w:r>
    </w:p>
    <w:p>
      <w:pPr>
        <w:jc w:val="both"/>
      </w:pPr>
      <w:r>
        <w:t xml:space="preserve">Este hallazgo confirma, en un caso concreto de la Huasteca Poblana, el argumento de Salgado Medina et al. (2018) sobre la importancia de la participación docente en la incorporación efectiva de saberes locales al currículo indígena, y sugiere que la asignatura de Lengua y Cultura Indígena, aunque ofrece el espacio formal necesario, no garantiza por sí misma un aprovechamiento homogéneo de ese espacio. La comparación entre las tres escuelas del estudio muestra que el arraigo local y la experiencia agrícola previa del docente, más que el diseño curricular oficial, explican buena parte de la variación observada.</w:t>
      </w:r>
    </w:p>
    <w:p>
      <w:pPr>
        <w:jc w:val="both"/>
      </w:pPr>
      <w:r>
        <w:t xml:space="preserve">En diálogo con Sartorello (2024), los resultados muestran que ninguna de las tres escuelas ha adoptado un instrumento de sistematización semejante a las "milpas educativas", lo que sitúa a Xicotepec y Tlacuilotepec un paso atrás respecto de las experiencias documentadas por ese autor en otras regiones indígenas del país, y abre una vía concreta de intervención pedagógica para la región. Asimismo, los hallazgos sobre inasistencia estacional confirman la relevancia práctica de la premisa de Ellison (2020) de que "la milpa es una escuela": si el aprendizaje agrícola ya ocurre de manera intensiva durante la temporada de corte, aunque fuera del aula oficial, entonces la pregunta pertinente para la política educativa no es solo cómo reducir esa inasistencia, sino cómo reconocer y dialogar pedagógicamente con ese aprendizaje paralelo, en lugar de tratarlo únicamente como una interrupción del calendario escolar oficial.</w:t>
      </w:r>
    </w:p>
    <w:p>
      <w:pPr>
        <w:jc w:val="both"/>
      </w:pPr>
      <w:r>
        <w:t xml:space="preserve">La aportación específica de este estudio, respecto de la literatura previa sobre educación indígena en la Huasteca Poblana centrada en el desplazamiento lingüístico y en la certificación docente, consiste en mostrar que el vínculo entre economía cafetalera y currículo escolar constituye una dimensión adicional, hasta ahora poco documentada, de la pertinencia educativa en la región, con implicaciones prácticas directas: la formación docente inicial y continua en la región podría incorporar explícitamente el manejo agroecológico del café como contenido pedagógico, y las cooperativas cafetaleras podrían formalizar, más allá de vínculos personales informales, su colaboración con las escuelas.</w:t>
      </w:r>
    </w:p>
    <w:p>
      <w:pPr>
        <w:pStyle w:val="Heading1"/>
      </w:pPr>
      <w:r>
        <w:t xml:space="preserve">6. Conclusiones</w:t>
      </w:r>
    </w:p>
    <w:p>
      <w:pPr>
        <w:jc w:val="both"/>
      </w:pPr>
      <w:r>
        <w:t xml:space="preserve">Este artículo analizó de qué manera los saberes agroecológicos cafetaleros locales se articulan con el currículo oficial de la educación primaria indígena en escuelas de Xicotepec de Juárez y Tlacuilotepec, Huasteca Poblana. La pregunta de investigación se cumple de manera parcial: existe articulación curricular, principalmente a través de la asignatura de Lengua y Cultura Indígena, pero esta depende en gran medida de la iniciativa y el arraigo local de cada docente, y no de un instrumento curricular sistemático compartido entre escuelas. Al mismo tiempo, la temporada de corte de café incide de manera medible en la asistencia escolar, lo que confirma que el ciclo agrícola cafetalero permanece como un factor estructural de la vida escolar de la región, articulado de forma desigual con el currículo oficial.</w:t>
      </w:r>
    </w:p>
    <w:p>
      <w:pPr>
        <w:jc w:val="both"/>
      </w:pPr>
      <w:r>
        <w:t xml:space="preserve">Estas conclusiones deben leerse con las limitaciones propias del diseño del estudio. El corpus de dieciocho documentos y las catorce entrevistas en tres escuelas constituyen una muestra ilustrativa y no probabilística, por lo que los hallazgos no pueden generalizarse a la totalidad de las escuelas primarias indígenas de Xicotepec y Tlacuilotepec, y menos aún a otras zonas cafetaleras de la Sierra Norte de Puebla. El estudio, además, no incluyó la perspectiva de las familias ni de los propios estudiantes, lo que limita la comprensión de cómo estos últimos experimentan la relación entre el aula oficial y el aprendizaje agrícola cotidiano. Con estas salvedades, el estudio aporta evidencia situada que respalda la relevancia de considerar los saberes agroecológicos cafetaleros como una fuente legítima, y actualmente subaprovechada, de contenido curricular pertinente para la educación primaria indígena de la región.</w:t>
      </w:r>
    </w:p>
    <w:p>
      <w:pPr>
        <w:pStyle w:val="Heading1"/>
      </w:pPr>
      <w:r>
        <w:t xml:space="preserve">7. Líneas futuras de investigación</w:t>
      </w:r>
    </w:p>
    <w:p>
      <w:pPr>
        <w:jc w:val="both"/>
      </w:pPr>
      <w:r>
        <w:t xml:space="preserve">En primer lugar, se sugiere adaptar y pilotear el instrumento de las "milpas educativas" descrito por Sartorello (2024) en escuelas primarias indígenas de Xicotepec y Tlacuilotepec, con participación directa de docentes, promotores agroecológicos y familias, para sistematizar de manera intencional los saberes cafetaleros locales antes de incorporarlos al currículo.</w:t>
      </w:r>
    </w:p>
    <w:p>
      <w:pPr>
        <w:jc w:val="both"/>
      </w:pPr>
      <w:r>
        <w:t xml:space="preserve">En segundo lugar, dado que este estudio se basó en una muestra ilustrativa de tres escuelas, futuras investigaciones podrían ampliar el número de planteles y municipios de la Huasteca Poblana, e incorporar la perspectiva de estudiantes y familias, para precisar con mayor detalle cómo se vive la tensión entre calendario escolar y ciclo cafetalero desde la experiencia infantil.</w:t>
      </w:r>
    </w:p>
    <w:p>
      <w:pPr>
        <w:jc w:val="both"/>
      </w:pPr>
      <w:r>
        <w:t xml:space="preserve">En tercer lugar, se recomienda explorar de manera específica la formalización de convenios entre cooperativas cafetaleras y escuelas indígenas de la región, más allá de los vínculos personales informales documentados en este estudio, para evaluar si una colaboración institucionalizada modifica tanto la presencia curricular de los saberes agroecológicos como los patrones de inasistencia estacional identificados.</w:t>
      </w:r>
    </w:p>
    <w:p>
      <w:pPr>
        <w:pStyle w:val="Heading1"/>
      </w:pPr>
      <w:r>
        <w:t xml:space="preserve">Referencias</w:t>
      </w:r>
    </w:p>
    <w:p>
      <w:pPr>
        <w:ind w:left="720" w:hanging="720"/>
        <w:jc w:val="both"/>
      </w:pPr>
      <w:r>
        <w:t xml:space="preserve">Barrera Rodríguez, A., Ramírez García, A. G., Cuevas Reyes, V., y Espejel García, A. (2021). Modelos de innovación en la producción de café en la Sierra Norte de Puebla-México. </w:t>
      </w:r>
      <w:r>
        <w:rPr>
          <w:i/>
        </w:rPr>
        <w:t xml:space="preserve">Revista de Ciencias Sociales (Ve)</w:t>
      </w:r>
      <w:r>
        <w:t xml:space="preserve">, </w:t>
      </w:r>
      <w:r>
        <w:rPr>
          <w:i/>
        </w:rPr>
        <w:t xml:space="preserve">27</w:t>
      </w:r>
      <w:r>
        <w:t xml:space="preserve">(Esp. 3), 443-458.</w:t>
      </w:r>
    </w:p>
    <w:p>
      <w:pPr>
        <w:ind w:left="720" w:hanging="720"/>
        <w:jc w:val="both"/>
      </w:pPr>
      <w:r>
        <w:t xml:space="preserve">Chakravarti, A. (2023). Para seguir siendo indígenas "ahora y después": la propuesta de educación originaria de la Preparatoria Totonaca CESIK en la Sierra Norte de Puebla, México. </w:t>
      </w:r>
      <w:r>
        <w:rPr>
          <w:i/>
        </w:rPr>
        <w:t xml:space="preserve">Revista Latinoamericana de Estudios Educativos</w:t>
      </w:r>
      <w:r>
        <w:t xml:space="preserve">, </w:t>
      </w:r>
      <w:r>
        <w:rPr>
          <w:i/>
        </w:rPr>
        <w:t xml:space="preserve">53</w:t>
      </w:r>
      <w:r>
        <w:t xml:space="preserve">(3), 461-502. https://doi.org/10.48102/rlee.2023.53.3.588</w:t>
      </w:r>
    </w:p>
    <w:p>
      <w:pPr>
        <w:ind w:left="720" w:hanging="720"/>
        <w:jc w:val="both"/>
      </w:pPr>
      <w:r>
        <w:t xml:space="preserve">Ellison, N. (2020). Altepetl/ChuChutsipi: cosmopolítica territorial totonaca-nahua y patrimonio biocultural en la Sierra Nororiental de Puebla, México. </w:t>
      </w:r>
      <w:r>
        <w:rPr>
          <w:i/>
        </w:rPr>
        <w:t xml:space="preserve">Trace</w:t>
      </w:r>
      <w:r>
        <w:t xml:space="preserve">, </w:t>
      </w:r>
      <w:r>
        <w:rPr>
          <w:i/>
        </w:rPr>
        <w:t xml:space="preserve">78</w:t>
      </w:r>
      <w:r>
        <w:t xml:space="preserve">(2). https://doi.org/10.22134/trace.78.2020.742</w:t>
      </w:r>
    </w:p>
    <w:p>
      <w:pPr>
        <w:ind w:left="720" w:hanging="720"/>
        <w:jc w:val="both"/>
      </w:pPr>
      <w:r>
        <w:t xml:space="preserve">Pérez, D., Pérez, J. F., y León, E. M. (2018). Sostenibilidad y desarrollo en educación en una comunidad indígena de migrantes: Xicotepec de Juárez, Puebla. </w:t>
      </w:r>
      <w:r>
        <w:rPr>
          <w:i/>
        </w:rPr>
        <w:t xml:space="preserve">Revista Integración Académica en Psicología</w:t>
      </w:r>
      <w:r>
        <w:t xml:space="preserve">, </w:t>
      </w:r>
      <w:r>
        <w:rPr>
          <w:i/>
        </w:rPr>
        <w:t xml:space="preserve">6</w:t>
      </w:r>
      <w:r>
        <w:t xml:space="preserve">(17).</w:t>
      </w:r>
    </w:p>
    <w:p>
      <w:pPr>
        <w:ind w:left="720" w:hanging="720"/>
        <w:jc w:val="both"/>
      </w:pPr>
      <w:r>
        <w:t xml:space="preserve">Salgado Medina, R. M., Keyser Ohrt, U., y Ruiz de la Torre, G. (2018). Conocimientos y saberes locales en tres propuestas curriculares para educación indígena. </w:t>
      </w:r>
      <w:r>
        <w:rPr>
          <w:i/>
        </w:rPr>
        <w:t xml:space="preserve">Sinéctica</w:t>
      </w:r>
      <w:r>
        <w:t xml:space="preserve">, (50), 1-18. https://doi.org/10.31391/S2007-7033(2018)0050-003</w:t>
      </w:r>
    </w:p>
    <w:p>
      <w:pPr>
        <w:ind w:left="720" w:hanging="720"/>
        <w:jc w:val="both"/>
      </w:pPr>
      <w:r>
        <w:t xml:space="preserve">Sartorello, S. C. (2024). Aproximaciones al conocimiento indígena desde las milpas educativas: saberes, haceres, decires, sentires y valores. </w:t>
      </w:r>
      <w:r>
        <w:rPr>
          <w:i/>
        </w:rPr>
        <w:t xml:space="preserve">Perfiles Educativos</w:t>
      </w:r>
      <w:r>
        <w:t xml:space="preserve">, </w:t>
      </w:r>
      <w:r>
        <w:rPr>
          <w:i/>
        </w:rPr>
        <w:t xml:space="preserve">46</w:t>
      </w:r>
      <w:r>
        <w:t xml:space="preserve">(185). https://doi.org/10.22201/iisue.24486167e.2024.185.61660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La milpa como aula: saberes agroecológicos cafetaleros en el currículo de la educación primaria indígena de Xicotepec y Tlacuilotepec, Huasteca Poblana</dc:title>
  <dc:creator>Claude</dc:creator>
  <cp:lastModifiedBy>Claude</cp:lastModifiedBy>
  <dcterms:created xsi:type="dcterms:W3CDTF">2026-09-15T00:00:00Z</dcterms:created>
  <dcterms:modified xsi:type="dcterms:W3CDTF">2026-09-15T00:00:00Z</dcterms:modified>
</cp:coreProperties>
</file>