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jc w:val="center"/>
        <w:spacing w:after="120"/>
      </w:pPr>
      <w:r>
        <w:rPr>
          <w:b/>
          <w:sz w:val="32"/>
          <w:szCs w:val="32"/>
        </w:rPr>
        <w:t xml:space="preserve">Permanecer en la escuela siendo niña: trayectorias de continuidad y abandono en la transición de la primaria a la telesecundaria entre familias nahuas de Pahuatlán y Naupan, Huasteca Poblana</w:t>
      </w:r>
    </w:p>
    <w:p>
      <w:pPr>
        <w:jc w:val="center"/>
        <w:spacing w:after="240"/>
      </w:pPr>
      <w:r>
        <w:rPr>
          <w:b/>
          <w:i/>
          <w:sz w:val="26"/>
          <w:szCs w:val="26"/>
        </w:rPr>
        <w:t xml:space="preserve">Staying in School as a Girl: Trajectories of Continuity and Dropout in the Transition from Primary School to Telesecundaria Among Nahua Families of Pahuatlán and Naupan, Huasteca Poblana</w:t>
      </w:r>
    </w:p>
    <w:p>
      <w:pPr>
        <w:jc w:val="both"/>
      </w:pPr>
      <w:r>
        <w:rPr>
          <w:b/>
        </w:rPr>
        <w:t xml:space="preserve">Resumen. </w:t>
      </w:r>
      <w:r>
        <w:t xml:space="preserve">Este artículo analiza los factores sociales, económicos y culturales que inciden en la continuidad o la interrupción de la trayectoria escolar de las niñas nahuas de los municipios de Pahuatlán y Naupan, Huasteca Poblana, en el momento crítico de la transición de la escuela primaria a la telesecundaria. A diferencia de estudios previos sobre educación indígena en la región, centrados en el desplazamiento lingüístico, la certificación docente en náhuatl o la articulación curricular de saberes agroecológicos, este trabajo examina específicamente la dimensión de género en ese tránsito escolar. Se adoptó un enfoque cualitativo mediante un estudio de caso etnográfico interpretativo en tres localidades nahuas, con un corpus de treinta y cuatro participantes: dieciséis niñas de sexto grado de primaria y primer grado de telesecundaria, doce madres de familia y seis docentes. El análisis se organizó en cuatro categorías: trabajo doméstico y de cuidado como condicionante del tiempo escolar femenino, percepción del riesgo asociado a la distancia hacia la telesecundaria, expectativas educativas diferenciadas por género dentro de la familia, y redes de apoyo que favorecen la continuidad escolar. Los resultados, datos ilustrativos con fines académicos, muestran que la interrupción de la trayectoria escolar femenina no obedece a una causa única, sino a la acumulación de cargas de cuidado, percepciones de riesgo en el trayecto y expectativas familiares que valoran de manera desigual la escolarización prolongada de hijas e hijos. La discusión interpreta estos hallazgos en diálogo con la literatura sobre deserción indígena en la transición a la secundaria y sobre matrimonio temprano. Las conclusiones destacan la necesidad de políticas escolares que reconozcan explícitamente la dimensión de género en la Huasteca Poblana, y se señalan limitaciones y líneas futuras de investigación.</w:t>
      </w:r>
    </w:p>
    <w:p>
      <w:pPr>
        <w:jc w:val="both"/>
      </w:pPr>
      <w:r>
        <w:rPr>
          <w:b/>
        </w:rPr>
        <w:t xml:space="preserve">Palabras clave:</w:t>
      </w:r>
      <w:r>
        <w:t xml:space="preserve"> género, telesecundaria, Huasteca Poblana</w:t>
      </w:r>
    </w:p>
    <w:p>
      <w:pPr>
        <w:jc w:val="both"/>
      </w:pPr>
      <w:r>
        <w:rPr>
          <w:b/>
        </w:rPr>
        <w:t xml:space="preserve">Abstract. </w:t>
      </w:r>
      <w:r>
        <w:t xml:space="preserve">This article analyzes the social, economic, and cultural factors influencing the continuity or interruption of the school trajectory of Nahua girls in the municipalities of Pahuatlán and Naupan, Huasteca Poblana, at the critical juncture of the transition from primary school to telesecundaria. Unlike previous studies on indigenous education in the region, which have focused on linguistic displacement, Náhuatl teacher certification, or the curricular articulation of agroecological knowledge, this work specifically examines the gender dimension of that school transition. A qualitative approach was adopted through an interpretive ethnographic case study in three Nahua localities, drawing on a corpus of thirty-four participants: sixteen girls in sixth grade of primary school and first grade of telesecundaria, twelve mothers, and six teachers. The analysis was organized into four categories: domestic and care work as a conditioning factor of girls' school time, perceived risk associated with the distance to telesecundaria, gendered educational expectations within the family, and support networks that favor school continuity. The findings, illustrative data for academic purposes, show that the interruption of girls' school trajectories does not stem from a single cause, but from the accumulation of care burdens, perceived risks along the route, and family expectations that unevenly value prolonged schooling for daughters and sons. The discussion interprets these findings in dialogue with the literature on indigenous dropout at the transition to secondary school and on early marriage. The conclusions highlight the need for school policies that explicitly recognize the gender dimension in the Huasteca Poblana, and limitations and future lines of research are identified.</w:t>
      </w:r>
    </w:p>
    <w:p>
      <w:pPr>
        <w:jc w:val="both"/>
      </w:pPr>
      <w:r>
        <w:rPr>
          <w:b/>
        </w:rPr>
        <w:t xml:space="preserve">Keywords:</w:t>
      </w:r>
      <w:r>
        <w:t xml:space="preserve"> gender, telesecundaria, Huasteca Poblana</w:t>
      </w:r>
    </w:p>
    <w:p>
      <w:pPr>
        <w:pStyle w:val="Heading1"/>
      </w:pPr>
      <w:r>
        <w:t xml:space="preserve">1. Introducción</w:t>
      </w:r>
    </w:p>
    <w:p>
      <w:pPr>
        <w:jc w:val="both"/>
      </w:pPr>
      <w:r>
        <w:t xml:space="preserve">En la Sierra Norte de Puebla, los municipios de Pahuatlán y Naupan forman parte de lo que este artículo denomina Huasteca Poblana, una región de población mayoritariamente nahua donde la educación primaria indígena bilingüe convive con una oferta de nivel secundaria organizada casi en su totalidad a través de telesecundarias, escuelas que operan con un solo docente por grado y que, en la mayoría de los casos, se ubican a cierta distancia de las localidades más pequeñas y dispersas. Esa distancia, que en la cabecera municipal puede recorrerse en minutos, se convierte en las rancherías y barrios altos de ambos municipios en una caminata de media hora o más por veredas de terracería, un dato que, como se mostrará en este artículo, no es un detalle logístico menor sino una variable que las familias nahuas sopesan de manera distinta según el sexo de la hija o el hijo que debe recorrerla.</w:t>
      </w:r>
    </w:p>
    <w:p>
      <w:pPr>
        <w:jc w:val="both"/>
      </w:pPr>
      <w:r>
        <w:t xml:space="preserve">El problema que motiva este estudio parte de una observación recurrente entre docentes de telesecundaria de la región: el grupo de primer grado suele llegar con menos niñas que el grupo de sexto de primaria del que proceden, una diferencia que no se explica por un patrón demográfico, sino por decisiones familiares tomadas durante el verano que separa ambos niveles. La investigación nacional sobre asistencia y deserción de la juventud indígena documenta que, en efecto, la transición de la primaria a la secundaria constituye un punto de quiebre más pronunciado para la población indígena que para la no indígena, y que ese quiebre coincide con la edad en que las exigencias de trabajo doméstico, cuidado de hermanos menores y, en algunos casos, de constitución de pareja temprana, comienzan a pesar de manera más intensa sobre las trayectorias de las adolescentes (De la Cruz Orozco y Heredia Rubio, 2019). Lo que esa literatura nacional no permite observar es cómo se combinan esos factores en un contexto situado y concreto, con nombres de localidades, de escuelas y de veredas reales, y es ese vacío el que este artículo busca atender para el caso de Pahuatlán y Naupan.</w:t>
      </w:r>
    </w:p>
    <w:p>
      <w:pPr>
        <w:jc w:val="both"/>
      </w:pPr>
      <w:r>
        <w:t xml:space="preserve">La relevancia social de abordar este problema en la Huasteca Poblana radica en que la región combina tres condiciones que, de manera individual, ya han sido asociadas con el abandono escolar femenino en otros contextos indígenas del país: alta proporción de población hablante de lengua originaria, dispersión geográfica de las localidades respecto de la oferta de telesecundaria, y persistencia de pautas de matrimonio y unión temprana más frecuentes entre mujeres indígenas que entre mujeres no indígenas (ONU Mujeres México, 2016). La relevancia académica consiste en que, hasta donde permite establecer la revisión realizada para este artículo, no existe para Pahuatlán y Naupan un estudio que examine de manera específica cómo estas tres condiciones se articulan en las decisiones familiares concretas sobre la escolarización de las niñas en el tránsito a la telesecundaria, un vacío que contrasta con la atención que la literatura regional sí ha dado al desplazamiento lingüístico, a la certificación docente y a la articulación curricular de saberes agroecológicos en otras zonas de la Huasteca Poblana.</w:t>
      </w:r>
    </w:p>
    <w:p>
      <w:pPr>
        <w:jc w:val="both"/>
      </w:pPr>
      <w:r>
        <w:t xml:space="preserve">El objetivo general de este artículo es analizar los factores sociales, económicos y culturales que inciden en la continuidad o la interrupción de la trayectoria escolar de las niñas nahuas de Pahuatlán y Naupan en la transición de la escuela primaria a la telesecundaria. Dado el carácter cualitativo e interpretativo del diseño, no se plantea una hipótesis estadística, sino la siguiente pregunta de investigación, que reaparece de manera literal en las secciones de resultados, discusión y conclusiones: ¿qué factores sociales, económicos y culturales inciden en la decisión de las familias nahuas de Pahuatlán y Naupan de sostener o interrumpir la trayectoria escolar de las niñas en la transición de la primaria a la telesecundaria? Responder esta pregunta permite, por un lado, documentar con mayor detalle un fenómeno que la literatura nacional describe en términos generales, y por otro, ofrecer a las autoridades escolares y comunitarias de la región elementos concretos para diseñar estrategias de acompañamiento diferenciadas por género en ese momento específico de la trayectoria escolar.</w:t>
      </w:r>
    </w:p>
    <w:p>
      <w:pPr>
        <w:pStyle w:val="Heading1"/>
      </w:pPr>
      <w:r>
        <w:t xml:space="preserve">2. Fundamentación teórica</w:t>
      </w:r>
    </w:p>
    <w:p>
      <w:pPr>
        <w:pStyle w:val="Heading2"/>
      </w:pPr>
      <w:r>
        <w:t xml:space="preserve">2.1. Interculturalidad, asimetría y formación valoral</w:t>
      </w:r>
    </w:p>
    <w:p>
      <w:pPr>
        <w:jc w:val="both"/>
      </w:pPr>
      <w:r>
        <w:t xml:space="preserve">Schmelkes (2009) sostiene que la educación intercultural en México no puede entenderse únicamente como una política dirigida a la población indígena, sino que exige combatir simultáneamente la asimetría escolar entre los pueblos originarios y el resto de la población, y la asimetría valorativa que subordina los conocimientos y las formas de vida indígenas frente a los conocimientos escolares oficiales. La autora propone que la formación valoral, entendida como la construcción de relaciones de respeto e igualdad entre culturas, debe acompañar cualquier esfuerzo por ampliar el acceso educativo de los pueblos indígenas, pues de lo contrario la ampliación de la cobertura puede convivir con relaciones internas de desigualdad que la escuela no logra transformar. En un texto posterior, Schmelkes (2013) insiste en que México requiere tanto una educación intercultural bilingüe de calidad dirigida a los pueblos indígenas como una educación intercultural para el conjunto de la población, en el entendido de que la interculturalidad no es un asunto exclusivo de las comunidades originarias, sino una característica que debería atravesar todo el sistema educativo nacional.</w:t>
      </w:r>
    </w:p>
    <w:p>
      <w:pPr>
        <w:jc w:val="both"/>
      </w:pPr>
      <w:r>
        <w:t xml:space="preserve">Este marco resulta pertinente para el problema de la transición de primaria a telesecundaria en Pahuatlán y Naupan porque permite distinguir dos niveles de asimetría que pueden operar de manera simultánea: una asimetría entre la población indígena y la no indígena en el acceso y la permanencia escolar, documentada de manera amplia en la literatura nacional, y una asimetría interna, de género, dentro de las propias familias y comunidades nahuas, que determina de forma distinta las expectativas de continuidad escolar para hijas y para hijos. La educación intercultural, en el sentido que proponen los textos de Schmelkes, tendría que atender ambas asimetrías a la vez, y no únicamente la primera.</w:t>
      </w:r>
    </w:p>
    <w:p>
      <w:pPr>
        <w:pStyle w:val="Heading2"/>
      </w:pPr>
      <w:r>
        <w:t xml:space="preserve">2.2. La transición de primaria a secundaria como punto crítico de la deserción indígena</w:t>
      </w:r>
    </w:p>
    <w:p>
      <w:pPr>
        <w:jc w:val="both"/>
      </w:pPr>
      <w:r>
        <w:t xml:space="preserve">El estudio de De la Cruz Orozco y Heredia Rubio (2019), realizado desde el Centro de Investigación y Docencia Económicas, examina la asistencia y la deserción escolar de la juventud indígena en el nivel secundaria a partir de información a escala nacional, y documenta que la asistencia escolar de la población indígena desciende de manera más pronunciada que la de la población no indígena precisamente en el momento de la transición de la primaria a la secundaria. Las autoras identifican, entre los factores asociados a esta caída, la disponibilidad limitada de escuelas secundarias cercanas a las comunidades indígenas, lo que en buena parte del país ha derivado en que la telesecundaria se convierta en la opción prácticamente única para continuar los estudios, y señalan además que la barrera lingüística persiste de manera significativa, pues en una proporción relevante de las escuelas donde los docentes hablan una lengua indígena, esa lengua no coincide con la que hablan todas las y los estudiantes del grupo.</w:t>
      </w:r>
    </w:p>
    <w:p>
      <w:pPr>
        <w:jc w:val="both"/>
      </w:pPr>
      <w:r>
        <w:t xml:space="preserve">Este hallazgo nacional ofrece un punto de referencia indispensable para interpretar lo que ocurre en Pahuatlán y Naupan, donde la telesecundaria es, en efecto, la única oferta de nivel secundaria disponible para la mayoría de las localidades nahuas estudiadas. Sin embargo, el estudio de De la Cruz Orozco y Heredia Rubio (2019) no desagrega sus hallazgos por sexo de manera sistemática, lo que deja abierta la pregunta de si la caída de la asistencia en la transición afecta de manera homogénea a niñas y niños indígenas, o si existen diferencias de género dentro de ese punto crítico que solo un estudio situado, como el que aquí se presenta, puede documentar con el detalle necesario.</w:t>
      </w:r>
    </w:p>
    <w:p>
      <w:pPr>
        <w:pStyle w:val="Heading2"/>
      </w:pPr>
      <w:r>
        <w:t xml:space="preserve">2.3. Factores de abandono en la telesecundaria rural</w:t>
      </w:r>
    </w:p>
    <w:p>
      <w:pPr>
        <w:jc w:val="both"/>
      </w:pPr>
      <w:r>
        <w:t xml:space="preserve">En un registro más local, el estudio de Rodas Vera (2021) sobre los factores potenciales que influyen en el abandono escolar en la Escuela Telesecundaria 531 Frida Kahlo, en el municipio de Jitotol, Chiapas, identifica entre las causas principales la influencia familiar en el cumplimiento de costumbres y tradiciones comunitarias, por encima de factores estrictamente económicos o académicos. El autor documenta que, en el contexto rural e indígena de esa telesecundaria chiapaneca, las decisiones sobre la permanencia escolar del estudiantado están mediadas de manera determinante por las expectativas familiares respecto del papel que cada hija o hijo debe desempeñar en la economía doméstica y comunitaria, un hallazgo que, aunque proviene de una región distinta a la Huasteca Poblana, aporta un marco comparativo útil para interpretar decisiones familiares semejantes en Pahuatlán y Naupan.</w:t>
      </w:r>
    </w:p>
    <w:p>
      <w:pPr>
        <w:jc w:val="both"/>
      </w:pPr>
      <w:r>
        <w:t xml:space="preserve">La telesecundaria, cabe subrayar, es un modelo pedagógico diseñado originalmente para extender la cobertura de educación secundaria a localidades rurales dispersas mediante un solo docente por grado y apoyos audiovisuales, un diseño que resuelve el problema de la oferta educativa pero que, al mismo tiempo, no modifica por sí mismo las condiciones familiares y comunitarias que determinan si una niña o un niño puede efectivamente asistir a ella de manera sostenida. Esta distinción entre disponibilidad de la oferta y condiciones reales de aprovechamiento es central para el análisis que se desarrolla en este artículo.</w:t>
      </w:r>
    </w:p>
    <w:p>
      <w:pPr>
        <w:pStyle w:val="Heading2"/>
      </w:pPr>
      <w:r>
        <w:t xml:space="preserve">2.4. Género, matrimonio temprano y continuidad educativa femenina</w:t>
      </w:r>
    </w:p>
    <w:p>
      <w:pPr>
        <w:jc w:val="both"/>
      </w:pPr>
      <w:r>
        <w:t xml:space="preserve">El informe de ONU Mujeres México (2016) sobre matrimonios y uniones tempranas de niñas documenta que, de acuerdo con información censal, una proporción sustancialmente mayor de mujeres indígenas de entre veinte y cuarenta y nueve años inició su vida conyugal antes de los dieciocho años, en comparación con la proporción registrada entre mujeres no indígenas, y señala que esta práctica se asocia de manera consistente con la interrupción temprana de la trayectoria escolar femenina. El informe recomienda que las políticas públicas dirigidas a reducir el matrimonio infantil incorporen de manera explícita estrategias de retención escolar en el nivel secundaria, precisamente el nivel en el que, según la literatura revisada en el apartado anterior, se concentra el punto crítico de la deserción indígena.</w:t>
      </w:r>
    </w:p>
    <w:p>
      <w:pPr>
        <w:jc w:val="both"/>
      </w:pPr>
      <w:r>
        <w:t xml:space="preserve">En un sentido complementario, el comunicado de prensa del Consejo Nacional de Evaluación de la Política de Desarrollo Social (CONEVAL, 2022) sobre la educación para la población indígena en México señala que, entre las principales problemáticas de acceso al derecho a la educación para niñas, niños y adolescentes hablantes de lengua indígena, se encuentran la falta de conectividad y de equipos de cómputo, factores que afectan de manera particular a la población que depende de modelos educativos semipresenciales o a distancia, como ocurrió durante la pandemia, y que pueden agravar las dificultades ya existentes para sostener la asistencia escolar en comunidades dispersas como las de Pahuatlán y Naupan.</w:t>
      </w:r>
    </w:p>
    <w:p>
      <w:pPr>
        <w:jc w:val="both"/>
      </w:pPr>
      <w:r>
        <w:t xml:space="preserve">La integración de estos cuatro cuerpos de literatura permite anticipar que la interrupción de la trayectoria escolar femenina en la transición a la telesecundaria en la Huasteca Poblana no puede explicarse por un solo factor, sino que probablemente resulta de la combinación de asimetrías de género dentro de la familia, barreras materiales de distancia y conectividad, y pautas culturales de matrimonio y unión temprana que compiten con la escolarización prolongada. Esta es precisamente la hipótesis interpretativa, no estadística, que orienta el diseño metodológico que se describe a continuación.</w:t>
      </w:r>
    </w:p>
    <w:p>
      <w:pPr>
        <w:pStyle w:val="Heading1"/>
      </w:pPr>
      <w:r>
        <w:t xml:space="preserve">3. Metodología</w:t>
      </w:r>
    </w:p>
    <w:p>
      <w:pPr>
        <w:pStyle w:val="Heading2"/>
      </w:pPr>
      <w:r>
        <w:t xml:space="preserve">3.1. Enfoque y diseño</w:t>
      </w:r>
    </w:p>
    <w:p>
      <w:pPr>
        <w:jc w:val="both"/>
      </w:pPr>
      <w:r>
        <w:t xml:space="preserve">Se adoptó un enfoque cualitativo mediante un diseño de estudio de caso etnográfico interpretativo, pertinente para examinar en profundidad las razones y los significados que las propias familias y docentes atribuyen a la continuidad o la interrupción de la trayectoria escolar femenina, antes que para establecer relaciones causales generalizables. El estudio se desarrolló en tres localidades nahuas de los municipios de Pahuatlán y Naupan, denominadas en este artículo, por razones de anonimato, Tenango de las Flores y Xolotla, en Pahuatlán, y Camotepec, en Naupan.</w:t>
      </w:r>
    </w:p>
    <w:p>
      <w:pPr>
        <w:pStyle w:val="Heading2"/>
      </w:pPr>
      <w:r>
        <w:t xml:space="preserve">3.2. Participantes</w:t>
      </w:r>
    </w:p>
    <w:p>
      <w:pPr>
        <w:jc w:val="both"/>
      </w:pPr>
      <w:r>
        <w:t xml:space="preserve">El corpus de participantes está integrado por treinta y cuatro personas: dieciséis niñas, ocho que al momento del estudio habían sostenido su trayectoria escolar de la primaria a la telesecundaria sin interrupción, y ocho que la habían interrumpido o se encontraban en situación de riesgo manifiesto de interrupción según el reporte docente; doce madres de familia, cuatro por localidad; y seis docentes, dos por localidad, uno del sexto grado de primaria y uno de primer grado de telesecundaria. La selección de participantes se realizó de manera intencional, con apoyo de los directores de los planteles, para asegurar la presencia tanto de trayectorias continuas como interrumpidas en cada localidad. Se trata de una muestra ilustrativa y no probabilística, cuyos hallazgos no pretenden generalizarse al conjunto de la población escolar de la región. La Tabla 1 describe la composición de los participantes por localidad.</w:t>
      </w:r>
    </w:p>
    <w:p>
      <w:pPr>
        <w:jc w:val="center"/>
        <w:spacing w:after="80"/>
      </w:pPr>
      <w:r>
        <w:rPr>
          <w:b/>
          <w:sz w:val="20"/>
          <w:szCs w:val="20"/>
        </w:rPr>
        <w:t xml:space="preserve">Tabla 1. Composición ilustrativa de los participantes por localidad</w:t>
      </w:r>
    </w:p>
    <w:tbl>
      <w:tblPr>
        <w:tblW w:w="5000" w:type="pct"/>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CellMar>
          <w:top w:w="60" w:type="dxa"/>
          <w:left w:w="120" w:type="dxa"/>
          <w:bottom w:w="60" w:type="dxa"/>
          <w:right w:w="120" w:type="dxa"/>
        </w:tblCellMar>
        <w:tblLayout w:type="fixed"/>
      </w:tblPr>
      <w:tblGrid>
        <w:gridCol w:w="1872"/>
        <w:gridCol w:w="1872"/>
        <w:gridCol w:w="1872"/>
        <w:gridCol w:w="1872"/>
        <w:gridCol w:w="1872"/>
      </w:tblGrid>
      <w:tr>
        <w:trPr>
          <w:tblHeader/>
        </w:trPr>
        <w:tc>
          <w:tcPr>
            <w:tcW w:w="1872" w:type="dxa"/>
            <w:shd w:val="clear" w:color="auto" w:fill="D6EAF8"/>
            <w:vAlign w:val="center"/>
          </w:tcPr>
          <w:p>
            <w:pPr>
              <w:jc w:val="center"/>
            </w:pPr>
            <w:r>
              <w:rPr>
                <w:b/>
                <w:sz w:val="20"/>
                <w:szCs w:val="20"/>
              </w:rPr>
              <w:t xml:space="preserve">Localidad (municipio)</w:t>
            </w:r>
          </w:p>
        </w:tc>
        <w:tc>
          <w:tcPr>
            <w:tcW w:w="1872" w:type="dxa"/>
            <w:shd w:val="clear" w:color="auto" w:fill="D6EAF8"/>
            <w:vAlign w:val="center"/>
          </w:tcPr>
          <w:p>
            <w:pPr>
              <w:jc w:val="center"/>
            </w:pPr>
            <w:r>
              <w:rPr>
                <w:b/>
                <w:sz w:val="20"/>
                <w:szCs w:val="20"/>
              </w:rPr>
              <w:t xml:space="preserve">Niñas con trayectoria continua</w:t>
            </w:r>
          </w:p>
        </w:tc>
        <w:tc>
          <w:tcPr>
            <w:tcW w:w="1872" w:type="dxa"/>
            <w:shd w:val="clear" w:color="auto" w:fill="D6EAF8"/>
            <w:vAlign w:val="center"/>
          </w:tcPr>
          <w:p>
            <w:pPr>
              <w:jc w:val="center"/>
            </w:pPr>
            <w:r>
              <w:rPr>
                <w:b/>
                <w:sz w:val="20"/>
                <w:szCs w:val="20"/>
              </w:rPr>
              <w:t xml:space="preserve">Niñas con trayectoria interrumpida o en riesgo</w:t>
            </w:r>
          </w:p>
        </w:tc>
        <w:tc>
          <w:tcPr>
            <w:tcW w:w="1872" w:type="dxa"/>
            <w:shd w:val="clear" w:color="auto" w:fill="D6EAF8"/>
            <w:vAlign w:val="center"/>
          </w:tcPr>
          <w:p>
            <w:pPr>
              <w:jc w:val="center"/>
            </w:pPr>
            <w:r>
              <w:rPr>
                <w:b/>
                <w:sz w:val="20"/>
                <w:szCs w:val="20"/>
              </w:rPr>
              <w:t xml:space="preserve">Madres entrevistadas</w:t>
            </w:r>
          </w:p>
        </w:tc>
        <w:tc>
          <w:tcPr>
            <w:tcW w:w="1872" w:type="dxa"/>
            <w:shd w:val="clear" w:color="auto" w:fill="D6EAF8"/>
            <w:vAlign w:val="center"/>
          </w:tcPr>
          <w:p>
            <w:pPr>
              <w:jc w:val="center"/>
            </w:pPr>
            <w:r>
              <w:rPr>
                <w:b/>
                <w:sz w:val="20"/>
                <w:szCs w:val="20"/>
              </w:rPr>
              <w:t xml:space="preserve">Docentes entrevistados</w:t>
            </w:r>
          </w:p>
        </w:tc>
      </w:tr>
      <w:tr>
        <w:tc>
          <w:tcPr>
            <w:tcW w:w="1872" w:type="dxa"/>
            <w:shd w:val="clear" w:color="auto" w:fill="F4F8FB"/>
            <w:vAlign w:val="center"/>
          </w:tcPr>
          <w:p>
            <w:pPr>
              <w:jc w:val="left"/>
            </w:pPr>
            <w:r>
              <w:rPr>
                <w:sz w:val="20"/>
                <w:szCs w:val="20"/>
              </w:rPr>
              <w:t xml:space="preserve">Tenango de las Flores (Pahuatlán)</w:t>
            </w:r>
          </w:p>
        </w:tc>
        <w:tc>
          <w:tcPr>
            <w:tcW w:w="1872" w:type="dxa"/>
            <w:shd w:val="clear" w:color="auto" w:fill="F4F8FB"/>
            <w:vAlign w:val="center"/>
          </w:tcPr>
          <w:p>
            <w:pPr>
              <w:jc w:val="center"/>
            </w:pPr>
            <w:r>
              <w:rPr>
                <w:sz w:val="20"/>
                <w:szCs w:val="20"/>
              </w:rPr>
              <w:t xml:space="preserve">3</w:t>
            </w:r>
          </w:p>
        </w:tc>
        <w:tc>
          <w:tcPr>
            <w:tcW w:w="1872" w:type="dxa"/>
            <w:shd w:val="clear" w:color="auto" w:fill="F4F8FB"/>
            <w:vAlign w:val="center"/>
          </w:tcPr>
          <w:p>
            <w:pPr>
              <w:jc w:val="center"/>
            </w:pPr>
            <w:r>
              <w:rPr>
                <w:sz w:val="20"/>
                <w:szCs w:val="20"/>
              </w:rPr>
              <w:t xml:space="preserve">3</w:t>
            </w:r>
          </w:p>
        </w:tc>
        <w:tc>
          <w:tcPr>
            <w:tcW w:w="1872" w:type="dxa"/>
            <w:shd w:val="clear" w:color="auto" w:fill="F4F8FB"/>
            <w:vAlign w:val="center"/>
          </w:tcPr>
          <w:p>
            <w:pPr>
              <w:jc w:val="center"/>
            </w:pPr>
            <w:r>
              <w:rPr>
                <w:sz w:val="20"/>
                <w:szCs w:val="20"/>
              </w:rPr>
              <w:t xml:space="preserve">4</w:t>
            </w:r>
          </w:p>
        </w:tc>
        <w:tc>
          <w:tcPr>
            <w:tcW w:w="1872" w:type="dxa"/>
            <w:shd w:val="clear" w:color="auto" w:fill="F4F8FB"/>
            <w:vAlign w:val="center"/>
          </w:tcPr>
          <w:p>
            <w:pPr>
              <w:jc w:val="center"/>
            </w:pPr>
            <w:r>
              <w:rPr>
                <w:sz w:val="20"/>
                <w:szCs w:val="20"/>
              </w:rPr>
              <w:t xml:space="preserve">2</w:t>
            </w:r>
          </w:p>
        </w:tc>
      </w:tr>
      <w:tr>
        <w:tc>
          <w:tcPr>
            <w:tcW w:w="1872" w:type="dxa"/>
            <w:shd w:val="clear" w:color="auto" w:fill="FFFFFF"/>
            <w:vAlign w:val="center"/>
          </w:tcPr>
          <w:p>
            <w:pPr>
              <w:jc w:val="left"/>
            </w:pPr>
            <w:r>
              <w:rPr>
                <w:sz w:val="20"/>
                <w:szCs w:val="20"/>
              </w:rPr>
              <w:t xml:space="preserve">Xolotla (Pahuatlán)</w:t>
            </w:r>
          </w:p>
        </w:tc>
        <w:tc>
          <w:tcPr>
            <w:tcW w:w="1872" w:type="dxa"/>
            <w:shd w:val="clear" w:color="auto" w:fill="FFFFFF"/>
            <w:vAlign w:val="center"/>
          </w:tcPr>
          <w:p>
            <w:pPr>
              <w:jc w:val="center"/>
            </w:pPr>
            <w:r>
              <w:rPr>
                <w:sz w:val="20"/>
                <w:szCs w:val="20"/>
              </w:rPr>
              <w:t xml:space="preserve">3</w:t>
            </w:r>
          </w:p>
        </w:tc>
        <w:tc>
          <w:tcPr>
            <w:tcW w:w="1872" w:type="dxa"/>
            <w:shd w:val="clear" w:color="auto" w:fill="FFFFFF"/>
            <w:vAlign w:val="center"/>
          </w:tcPr>
          <w:p>
            <w:pPr>
              <w:jc w:val="center"/>
            </w:pPr>
            <w:r>
              <w:rPr>
                <w:sz w:val="20"/>
                <w:szCs w:val="20"/>
              </w:rPr>
              <w:t xml:space="preserve">2</w:t>
            </w:r>
          </w:p>
        </w:tc>
        <w:tc>
          <w:tcPr>
            <w:tcW w:w="1872" w:type="dxa"/>
            <w:shd w:val="clear" w:color="auto" w:fill="FFFFFF"/>
            <w:vAlign w:val="center"/>
          </w:tcPr>
          <w:p>
            <w:pPr>
              <w:jc w:val="center"/>
            </w:pPr>
            <w:r>
              <w:rPr>
                <w:sz w:val="20"/>
                <w:szCs w:val="20"/>
              </w:rPr>
              <w:t xml:space="preserve">4</w:t>
            </w:r>
          </w:p>
        </w:tc>
        <w:tc>
          <w:tcPr>
            <w:tcW w:w="1872" w:type="dxa"/>
            <w:shd w:val="clear" w:color="auto" w:fill="FFFFFF"/>
            <w:vAlign w:val="center"/>
          </w:tcPr>
          <w:p>
            <w:pPr>
              <w:jc w:val="center"/>
            </w:pPr>
            <w:r>
              <w:rPr>
                <w:sz w:val="20"/>
                <w:szCs w:val="20"/>
              </w:rPr>
              <w:t xml:space="preserve">2</w:t>
            </w:r>
          </w:p>
        </w:tc>
      </w:tr>
      <w:tr>
        <w:tc>
          <w:tcPr>
            <w:tcW w:w="1872" w:type="dxa"/>
            <w:shd w:val="clear" w:color="auto" w:fill="F4F8FB"/>
            <w:vAlign w:val="center"/>
          </w:tcPr>
          <w:p>
            <w:pPr>
              <w:jc w:val="left"/>
            </w:pPr>
            <w:r>
              <w:rPr>
                <w:sz w:val="20"/>
                <w:szCs w:val="20"/>
              </w:rPr>
              <w:t xml:space="preserve">Camotepec (Naupan)</w:t>
            </w:r>
          </w:p>
        </w:tc>
        <w:tc>
          <w:tcPr>
            <w:tcW w:w="1872" w:type="dxa"/>
            <w:shd w:val="clear" w:color="auto" w:fill="F4F8FB"/>
            <w:vAlign w:val="center"/>
          </w:tcPr>
          <w:p>
            <w:pPr>
              <w:jc w:val="center"/>
            </w:pPr>
            <w:r>
              <w:rPr>
                <w:sz w:val="20"/>
                <w:szCs w:val="20"/>
              </w:rPr>
              <w:t xml:space="preserve">2</w:t>
            </w:r>
          </w:p>
        </w:tc>
        <w:tc>
          <w:tcPr>
            <w:tcW w:w="1872" w:type="dxa"/>
            <w:shd w:val="clear" w:color="auto" w:fill="F4F8FB"/>
            <w:vAlign w:val="center"/>
          </w:tcPr>
          <w:p>
            <w:pPr>
              <w:jc w:val="center"/>
            </w:pPr>
            <w:r>
              <w:rPr>
                <w:sz w:val="20"/>
                <w:szCs w:val="20"/>
              </w:rPr>
              <w:t xml:space="preserve">3</w:t>
            </w:r>
          </w:p>
        </w:tc>
        <w:tc>
          <w:tcPr>
            <w:tcW w:w="1872" w:type="dxa"/>
            <w:shd w:val="clear" w:color="auto" w:fill="F4F8FB"/>
            <w:vAlign w:val="center"/>
          </w:tcPr>
          <w:p>
            <w:pPr>
              <w:jc w:val="center"/>
            </w:pPr>
            <w:r>
              <w:rPr>
                <w:sz w:val="20"/>
                <w:szCs w:val="20"/>
              </w:rPr>
              <w:t xml:space="preserve">4</w:t>
            </w:r>
          </w:p>
        </w:tc>
        <w:tc>
          <w:tcPr>
            <w:tcW w:w="1872" w:type="dxa"/>
            <w:shd w:val="clear" w:color="auto" w:fill="F4F8FB"/>
            <w:vAlign w:val="center"/>
          </w:tcPr>
          <w:p>
            <w:pPr>
              <w:jc w:val="center"/>
            </w:pPr>
            <w:r>
              <w:rPr>
                <w:sz w:val="20"/>
                <w:szCs w:val="20"/>
              </w:rPr>
              <w:t xml:space="preserve">2</w:t>
            </w:r>
          </w:p>
        </w:tc>
      </w:tr>
    </w:tbl>
    <w:p>
      <w:pPr>
        <w:spacing w:after="200"/>
      </w:pPr>
    </w:p>
    <w:p>
      <w:pPr>
        <w:pStyle w:val="Heading2"/>
      </w:pPr>
      <w:r>
        <w:t xml:space="preserve">3.3. Técnicas e instrumentos</w:t>
      </w:r>
    </w:p>
    <w:p>
      <w:pPr>
        <w:jc w:val="both"/>
      </w:pPr>
      <w:r>
        <w:t xml:space="preserve">Se emplearon tres técnicas principales. En primer lugar, entrevistas semiestructuradas individuales con las dieciséis niñas, centradas en sus rutinas diarias, sus percepciones sobre la distancia y la seguridad del trayecto a la telesecundaria, y sus propias expectativas educativas. En segundo lugar, entrevistas semiestructuradas con las doce madres de familia, orientadas a las razones familiares detrás de la decisión de sostener o interrumpir la trayectoria escolar de sus hijas. En tercer lugar, entrevistas semiestructuradas con los seis docentes, complementadas con observación participante durante dos semanas en cada telesecundaria y revisión de las actas de control escolar y de bajas de los dos ciclos previos. Todas las entrevistas se realizaron en español, con apoyo de intérpretes de náhuatl cuando las madres de familia lo solicitaron.</w:t>
      </w:r>
    </w:p>
    <w:p>
      <w:pPr>
        <w:pStyle w:val="Heading2"/>
      </w:pPr>
      <w:r>
        <w:t xml:space="preserve">3.4. Categorías y procedimiento de análisis</w:t>
      </w:r>
    </w:p>
    <w:p>
      <w:pPr>
        <w:jc w:val="both"/>
      </w:pPr>
      <w:r>
        <w:t xml:space="preserve">El análisis fue temático de contenido, organizado en cuatro categorías construidas a partir de la revisión de literatura y refinadas durante el trabajo de campo: 1) trabajo doméstico y de cuidado como condicionante del tiempo escolar femenino; 2) percepción del riesgo asociado a la distancia hacia la telesecundaria; 3) expectativas educativas diferenciadas por género dentro de la familia; y 4) redes de apoyo que favorecen la continuidad escolar. El procedimiento comprendió la transcripción y codificación temática de las entrevistas, la construcción de matrices comparativas entre las tres localidades y entre las trayectorias continuas e interrumpidas, y la triangulación entre el discurso de las niñas, el de las madres, el de los docentes y los registros de las actas escolares. Las cifras y los nombres de localidades presentados en la sección de Resultados son datos ilustrativos con fines académicos.</w:t>
      </w:r>
    </w:p>
    <w:p>
      <w:pPr>
        <w:pStyle w:val="Heading1"/>
      </w:pPr>
      <w:r>
        <w:t xml:space="preserve">4. Resultados</w:t>
      </w:r>
    </w:p>
    <w:p>
      <w:pPr>
        <w:jc w:val="both"/>
      </w:pPr>
      <w:r>
        <w:t xml:space="preserve">Los resultados se organizan según las cuatro categorías anunciadas y responden de manera directa a la pregunta de investigación planteada en la Introducción.</w:t>
      </w:r>
    </w:p>
    <w:p>
      <w:pPr>
        <w:pStyle w:val="Heading2"/>
      </w:pPr>
      <w:r>
        <w:t xml:space="preserve">4.1. Trabajo doméstico y de cuidado como condicionante del tiempo escolar femenino</w:t>
      </w:r>
    </w:p>
    <w:p>
      <w:pPr>
        <w:jc w:val="both"/>
      </w:pPr>
      <w:r>
        <w:t xml:space="preserve">Las ocho niñas con trayectoria interrumpida o en riesgo relataron de manera consistente una carga de trabajo doméstico y de cuidado de hermanos menores superior a la que reportaron las niñas con trayectoria continua, en particular en los hogares donde la madre trabaja fuera del hogar en jornadas agrícolas o de comercio local. Las doce madres entrevistadas coincidieron en que, al cursar la telesecundaria, la jornada escolar y el trayecto a pie se superponen con horarios en los que anteriormente la niña realizaba tareas domésticas, lo que obliga a reorganizar esas tareas entre otras hijas, entre ellas la niña misma en los días sin clase, o a prescindir de la escolarización. La Tabla 2 presenta, de manera ilustrativa, las horas diarias promedio de trabajo doméstico y de cuidado reportadas por las propias niñas, según su trayectoria.</w:t>
      </w:r>
    </w:p>
    <w:p>
      <w:pPr>
        <w:jc w:val="center"/>
        <w:spacing w:after="80"/>
      </w:pPr>
      <w:r>
        <w:rPr>
          <w:b/>
          <w:sz w:val="20"/>
          <w:szCs w:val="20"/>
        </w:rPr>
        <w:t xml:space="preserve">Tabla 2. Horas diarias promedio ilustrativas de trabajo doméstico y de cuidado reportadas por las niñas, según trayectoria</w:t>
      </w:r>
    </w:p>
    <w:tbl>
      <w:tblPr>
        <w:tblW w:w="5000" w:type="pct"/>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CellMar>
          <w:top w:w="60" w:type="dxa"/>
          <w:left w:w="120" w:type="dxa"/>
          <w:bottom w:w="60" w:type="dxa"/>
          <w:right w:w="120" w:type="dxa"/>
        </w:tblCellMar>
        <w:tblLayout w:type="fixed"/>
      </w:tblPr>
      <w:tblGrid>
        <w:gridCol w:w="3120"/>
        <w:gridCol w:w="3120"/>
        <w:gridCol w:w="3120"/>
      </w:tblGrid>
      <w:tr>
        <w:trPr>
          <w:tblHeader/>
        </w:trPr>
        <w:tc>
          <w:tcPr>
            <w:tcW w:w="3120" w:type="dxa"/>
            <w:shd w:val="clear" w:color="auto" w:fill="D6EAF8"/>
            <w:vAlign w:val="center"/>
          </w:tcPr>
          <w:p>
            <w:pPr>
              <w:jc w:val="center"/>
            </w:pPr>
            <w:r>
              <w:rPr>
                <w:b/>
                <w:sz w:val="20"/>
                <w:szCs w:val="20"/>
              </w:rPr>
              <w:t xml:space="preserve">Localidad</w:t>
            </w:r>
          </w:p>
        </w:tc>
        <w:tc>
          <w:tcPr>
            <w:tcW w:w="3120" w:type="dxa"/>
            <w:shd w:val="clear" w:color="auto" w:fill="D6EAF8"/>
            <w:vAlign w:val="center"/>
          </w:tcPr>
          <w:p>
            <w:pPr>
              <w:jc w:val="center"/>
            </w:pPr>
            <w:r>
              <w:rPr>
                <w:b/>
                <w:sz w:val="20"/>
                <w:szCs w:val="20"/>
              </w:rPr>
              <w:t xml:space="preserve">Trayectoria continua (horas/día)</w:t>
            </w:r>
          </w:p>
        </w:tc>
        <w:tc>
          <w:tcPr>
            <w:tcW w:w="3120" w:type="dxa"/>
            <w:shd w:val="clear" w:color="auto" w:fill="D6EAF8"/>
            <w:vAlign w:val="center"/>
          </w:tcPr>
          <w:p>
            <w:pPr>
              <w:jc w:val="center"/>
            </w:pPr>
            <w:r>
              <w:rPr>
                <w:b/>
                <w:sz w:val="20"/>
                <w:szCs w:val="20"/>
              </w:rPr>
              <w:t xml:space="preserve">Trayectoria interrumpida o en riesgo (horas/día)</w:t>
            </w:r>
          </w:p>
        </w:tc>
      </w:tr>
      <w:tr>
        <w:tc>
          <w:tcPr>
            <w:tcW w:w="3120" w:type="dxa"/>
            <w:shd w:val="clear" w:color="auto" w:fill="F4F8FB"/>
            <w:vAlign w:val="center"/>
          </w:tcPr>
          <w:p>
            <w:pPr>
              <w:jc w:val="left"/>
            </w:pPr>
            <w:r>
              <w:rPr>
                <w:sz w:val="20"/>
                <w:szCs w:val="20"/>
              </w:rPr>
              <w:t xml:space="preserve">Tenango de las Flores</w:t>
            </w:r>
          </w:p>
        </w:tc>
        <w:tc>
          <w:tcPr>
            <w:tcW w:w="3120" w:type="dxa"/>
            <w:shd w:val="clear" w:color="auto" w:fill="F4F8FB"/>
            <w:vAlign w:val="center"/>
          </w:tcPr>
          <w:p>
            <w:pPr>
              <w:jc w:val="center"/>
            </w:pPr>
            <w:r>
              <w:rPr>
                <w:sz w:val="20"/>
                <w:szCs w:val="20"/>
              </w:rPr>
              <w:t xml:space="preserve">2.1</w:t>
            </w:r>
          </w:p>
        </w:tc>
        <w:tc>
          <w:tcPr>
            <w:tcW w:w="3120" w:type="dxa"/>
            <w:shd w:val="clear" w:color="auto" w:fill="F4F8FB"/>
            <w:vAlign w:val="center"/>
          </w:tcPr>
          <w:p>
            <w:pPr>
              <w:jc w:val="center"/>
            </w:pPr>
            <w:r>
              <w:rPr>
                <w:sz w:val="20"/>
                <w:szCs w:val="20"/>
              </w:rPr>
              <w:t xml:space="preserve">4.6</w:t>
            </w:r>
          </w:p>
        </w:tc>
      </w:tr>
      <w:tr>
        <w:tc>
          <w:tcPr>
            <w:tcW w:w="3120" w:type="dxa"/>
            <w:shd w:val="clear" w:color="auto" w:fill="FFFFFF"/>
            <w:vAlign w:val="center"/>
          </w:tcPr>
          <w:p>
            <w:pPr>
              <w:jc w:val="left"/>
            </w:pPr>
            <w:r>
              <w:rPr>
                <w:sz w:val="20"/>
                <w:szCs w:val="20"/>
              </w:rPr>
              <w:t xml:space="preserve">Xolotla</w:t>
            </w:r>
          </w:p>
        </w:tc>
        <w:tc>
          <w:tcPr>
            <w:tcW w:w="3120" w:type="dxa"/>
            <w:shd w:val="clear" w:color="auto" w:fill="FFFFFF"/>
            <w:vAlign w:val="center"/>
          </w:tcPr>
          <w:p>
            <w:pPr>
              <w:jc w:val="center"/>
            </w:pPr>
            <w:r>
              <w:rPr>
                <w:sz w:val="20"/>
                <w:szCs w:val="20"/>
              </w:rPr>
              <w:t xml:space="preserve">1.8</w:t>
            </w:r>
          </w:p>
        </w:tc>
        <w:tc>
          <w:tcPr>
            <w:tcW w:w="3120" w:type="dxa"/>
            <w:shd w:val="clear" w:color="auto" w:fill="FFFFFF"/>
            <w:vAlign w:val="center"/>
          </w:tcPr>
          <w:p>
            <w:pPr>
              <w:jc w:val="center"/>
            </w:pPr>
            <w:r>
              <w:rPr>
                <w:sz w:val="20"/>
                <w:szCs w:val="20"/>
              </w:rPr>
              <w:t xml:space="preserve">4.2</w:t>
            </w:r>
          </w:p>
        </w:tc>
      </w:tr>
      <w:tr>
        <w:tc>
          <w:tcPr>
            <w:tcW w:w="3120" w:type="dxa"/>
            <w:shd w:val="clear" w:color="auto" w:fill="F4F8FB"/>
            <w:vAlign w:val="center"/>
          </w:tcPr>
          <w:p>
            <w:pPr>
              <w:jc w:val="left"/>
            </w:pPr>
            <w:r>
              <w:rPr>
                <w:sz w:val="20"/>
                <w:szCs w:val="20"/>
              </w:rPr>
              <w:t xml:space="preserve">Camotepec</w:t>
            </w:r>
          </w:p>
        </w:tc>
        <w:tc>
          <w:tcPr>
            <w:tcW w:w="3120" w:type="dxa"/>
            <w:shd w:val="clear" w:color="auto" w:fill="F4F8FB"/>
            <w:vAlign w:val="center"/>
          </w:tcPr>
          <w:p>
            <w:pPr>
              <w:jc w:val="center"/>
            </w:pPr>
            <w:r>
              <w:rPr>
                <w:sz w:val="20"/>
                <w:szCs w:val="20"/>
              </w:rPr>
              <w:t xml:space="preserve">2.4</w:t>
            </w:r>
          </w:p>
        </w:tc>
        <w:tc>
          <w:tcPr>
            <w:tcW w:w="3120" w:type="dxa"/>
            <w:shd w:val="clear" w:color="auto" w:fill="F4F8FB"/>
            <w:vAlign w:val="center"/>
          </w:tcPr>
          <w:p>
            <w:pPr>
              <w:jc w:val="center"/>
            </w:pPr>
            <w:r>
              <w:rPr>
                <w:sz w:val="20"/>
                <w:szCs w:val="20"/>
              </w:rPr>
              <w:t xml:space="preserve">5.1</w:t>
            </w:r>
          </w:p>
        </w:tc>
      </w:tr>
    </w:tbl>
    <w:p>
      <w:pPr>
        <w:spacing w:after="200"/>
      </w:pPr>
    </w:p>
    <w:p>
      <w:pPr>
        <w:pStyle w:val="Heading2"/>
      </w:pPr>
      <w:r>
        <w:t xml:space="preserve">4.2. Percepción del riesgo asociado a la distancia hacia la telesecundaria</w:t>
      </w:r>
    </w:p>
    <w:p>
      <w:pPr>
        <w:jc w:val="both"/>
      </w:pPr>
      <w:r>
        <w:t xml:space="preserve">La segunda categoría confirma que la distancia física hacia la telesecundaria no se percibe únicamente como un costo de tiempo, sino como una fuente de riesgo específicamente asociada al género. Diez de las doce madres entrevistadas mencionaron de manera espontánea la inseguridad del trayecto, ya fuera por el estado de las veredas, por la ausencia de compañía adulta en ciertos tramos, o por encuentros no deseados con hombres adultos en el camino, como una razón que pesa de manera particular al decidir si una hija, y no necesariamente un hijo, continúa su trayectoria escolar en la telesecundaria. Ninguno de los seis docentes entrevistados reportó haber escuchado una preocupación equivalente formulada respecto de los varones del grupo. La Figura 1 muestra, de manera ilustrativa, la proporción de madres que identificaron la inseguridad del trayecto como motivo relevante en su decisión, según localidad.</w:t>
      </w:r>
    </w:p>
    <w:p>
      <w:pPr>
        <w:jc w:val="center"/>
        <w:spacing w:after="80"/>
      </w:pPr>
      <w:r>
        <w:drawing>
          <wp:inline xmlns:wp="http://schemas.openxmlformats.org/drawingml/2006/wordprocessingDrawing" distT="0" distB="0" distL="0" distR="0">
            <wp:extent cx="5486400" cy="3535680"/>
            <wp:effectExtent l="0" t="0" r="0" b="0"/>
            <wp:docPr id="1" name="char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rt_1.png"/>
                    <pic:cNvPicPr/>
                  </pic:nvPicPr>
                  <pic:blipFill>
                    <a:blip r:embed="rId2"/>
                    <a:stretch>
                      <a:fillRect/>
                    </a:stretch>
                  </pic:blipFill>
                  <pic:spPr>
                    <a:xfrm>
                      <a:off x="0" y="0"/>
                      <a:ext cx="5486400" cy="3535680"/>
                    </a:xfrm>
                    <a:prstGeom prst="rect">
                      <a:avLst/>
                    </a:prstGeom>
                  </pic:spPr>
                </pic:pic>
              </a:graphicData>
            </a:graphic>
          </wp:inline>
        </w:drawing>
      </w:r>
    </w:p>
    <w:p>
      <w:pPr>
        <w:jc w:val="center"/>
        <w:spacing w:after="240"/>
      </w:pPr>
      <w:r>
        <w:rPr>
          <w:i/>
          <w:sz w:val="20"/>
          <w:szCs w:val="20"/>
        </w:rPr>
        <w:t xml:space="preserve">Figura 1. Madres que identificaron la inseguridad del trayecto como motivo relevante, por localidad (dato ilustrativo, de 4 por localidad). Datos ilustrativos con fines académicos.</w:t>
      </w:r>
    </w:p>
    <w:p>
      <w:pPr>
        <w:pStyle w:val="Heading2"/>
      </w:pPr>
      <w:r>
        <w:t xml:space="preserve">4.3. Expectativas educativas diferenciadas por género dentro de la familia</w:t>
      </w:r>
    </w:p>
    <w:p>
      <w:pPr>
        <w:jc w:val="both"/>
      </w:pPr>
      <w:r>
        <w:t xml:space="preserve">La tercera categoría muestra que, en diez de las doce familias entrevistadas, las madres expresaron de manera explícita una expectativa de continuidad escolar más alta para los hijos varones que para las hijas, asociada con la idea de que la escolarización prolongada del varón facilita una futura salida migratoria hacia centros urbanos o hacia el sector de servicios, mientras que la escolarización de la hija se valora como un bien deseable pero secundario frente a su futura incorporación al hogar propio o al hogar de origen. Entre las ocho niñas con trayectoria interrumpida o en riesgo, seis relataron haber escuchado directamente de algún familiar que la telesecundaria era, en palabras de una de ellas, para seguir aprendiendo mientras se puede, una formulación que contrasta con la manera en que las niñas de trayectoria continua describieron las expectativas familiares sobre su propia escolarización, en términos de continuar hasta terminar una carrera. La Tabla 3 sintetiza esta categoría de manera ilustrativa.</w:t>
      </w:r>
    </w:p>
    <w:p>
      <w:pPr>
        <w:jc w:val="center"/>
        <w:spacing w:after="80"/>
      </w:pPr>
      <w:r>
        <w:rPr>
          <w:b/>
          <w:sz w:val="20"/>
          <w:szCs w:val="20"/>
        </w:rPr>
        <w:t xml:space="preserve">Tabla 3. Expectativa familiar declarada sobre la escolarización de la hija, según trayectoria de la niña</w:t>
      </w:r>
    </w:p>
    <w:tbl>
      <w:tblPr>
        <w:tblW w:w="5000" w:type="pct"/>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CellMar>
          <w:top w:w="60" w:type="dxa"/>
          <w:left w:w="120" w:type="dxa"/>
          <w:bottom w:w="60" w:type="dxa"/>
          <w:right w:w="120" w:type="dxa"/>
        </w:tblCellMar>
        <w:tblLayout w:type="fixed"/>
      </w:tblPr>
      <w:tblGrid>
        <w:gridCol w:w="3120"/>
        <w:gridCol w:w="3120"/>
        <w:gridCol w:w="3120"/>
      </w:tblGrid>
      <w:tr>
        <w:trPr>
          <w:tblHeader/>
        </w:trPr>
        <w:tc>
          <w:tcPr>
            <w:tcW w:w="3120" w:type="dxa"/>
            <w:shd w:val="clear" w:color="auto" w:fill="D6EAF8"/>
            <w:vAlign w:val="center"/>
          </w:tcPr>
          <w:p>
            <w:pPr>
              <w:jc w:val="center"/>
            </w:pPr>
            <w:r>
              <w:rPr>
                <w:b/>
                <w:sz w:val="20"/>
                <w:szCs w:val="20"/>
              </w:rPr>
              <w:t xml:space="preserve">Expectativa familiar declarada por la madre</w:t>
            </w:r>
          </w:p>
        </w:tc>
        <w:tc>
          <w:tcPr>
            <w:tcW w:w="3120" w:type="dxa"/>
            <w:shd w:val="clear" w:color="auto" w:fill="D6EAF8"/>
            <w:vAlign w:val="center"/>
          </w:tcPr>
          <w:p>
            <w:pPr>
              <w:jc w:val="center"/>
            </w:pPr>
            <w:r>
              <w:rPr>
                <w:b/>
                <w:sz w:val="20"/>
                <w:szCs w:val="20"/>
              </w:rPr>
              <w:t xml:space="preserve">Trayectoria continua (de 8)</w:t>
            </w:r>
          </w:p>
        </w:tc>
        <w:tc>
          <w:tcPr>
            <w:tcW w:w="3120" w:type="dxa"/>
            <w:shd w:val="clear" w:color="auto" w:fill="D6EAF8"/>
            <w:vAlign w:val="center"/>
          </w:tcPr>
          <w:p>
            <w:pPr>
              <w:jc w:val="center"/>
            </w:pPr>
            <w:r>
              <w:rPr>
                <w:b/>
                <w:sz w:val="20"/>
                <w:szCs w:val="20"/>
              </w:rPr>
              <w:t xml:space="preserve">Trayectoria interrumpida o en riesgo (de 8)</w:t>
            </w:r>
          </w:p>
        </w:tc>
      </w:tr>
      <w:tr>
        <w:tc>
          <w:tcPr>
            <w:tcW w:w="3120" w:type="dxa"/>
            <w:shd w:val="clear" w:color="auto" w:fill="F4F8FB"/>
            <w:vAlign w:val="center"/>
          </w:tcPr>
          <w:p>
            <w:pPr>
              <w:jc w:val="left"/>
            </w:pPr>
            <w:r>
              <w:rPr>
                <w:sz w:val="20"/>
                <w:szCs w:val="20"/>
              </w:rPr>
              <w:t xml:space="preserve">Terminar una carrera o profesión</w:t>
            </w:r>
          </w:p>
        </w:tc>
        <w:tc>
          <w:tcPr>
            <w:tcW w:w="3120" w:type="dxa"/>
            <w:shd w:val="clear" w:color="auto" w:fill="F4F8FB"/>
            <w:vAlign w:val="center"/>
          </w:tcPr>
          <w:p>
            <w:pPr>
              <w:jc w:val="center"/>
            </w:pPr>
            <w:r>
              <w:rPr>
                <w:sz w:val="20"/>
                <w:szCs w:val="20"/>
              </w:rPr>
              <w:t xml:space="preserve">5</w:t>
            </w:r>
          </w:p>
        </w:tc>
        <w:tc>
          <w:tcPr>
            <w:tcW w:w="3120" w:type="dxa"/>
            <w:shd w:val="clear" w:color="auto" w:fill="F4F8FB"/>
            <w:vAlign w:val="center"/>
          </w:tcPr>
          <w:p>
            <w:pPr>
              <w:jc w:val="center"/>
            </w:pPr>
            <w:r>
              <w:rPr>
                <w:sz w:val="20"/>
                <w:szCs w:val="20"/>
              </w:rPr>
              <w:t xml:space="preserve">1</w:t>
            </w:r>
          </w:p>
        </w:tc>
      </w:tr>
      <w:tr>
        <w:tc>
          <w:tcPr>
            <w:tcW w:w="3120" w:type="dxa"/>
            <w:shd w:val="clear" w:color="auto" w:fill="FFFFFF"/>
            <w:vAlign w:val="center"/>
          </w:tcPr>
          <w:p>
            <w:pPr>
              <w:jc w:val="left"/>
            </w:pPr>
            <w:r>
              <w:rPr>
                <w:sz w:val="20"/>
                <w:szCs w:val="20"/>
              </w:rPr>
              <w:t xml:space="preserve">Terminar la telesecundaria, sin precisar más allá</w:t>
            </w:r>
          </w:p>
        </w:tc>
        <w:tc>
          <w:tcPr>
            <w:tcW w:w="3120" w:type="dxa"/>
            <w:shd w:val="clear" w:color="auto" w:fill="FFFFFF"/>
            <w:vAlign w:val="center"/>
          </w:tcPr>
          <w:p>
            <w:pPr>
              <w:jc w:val="center"/>
            </w:pPr>
            <w:r>
              <w:rPr>
                <w:sz w:val="20"/>
                <w:szCs w:val="20"/>
              </w:rPr>
              <w:t xml:space="preserve">2</w:t>
            </w:r>
          </w:p>
        </w:tc>
        <w:tc>
          <w:tcPr>
            <w:tcW w:w="3120" w:type="dxa"/>
            <w:shd w:val="clear" w:color="auto" w:fill="FFFFFF"/>
            <w:vAlign w:val="center"/>
          </w:tcPr>
          <w:p>
            <w:pPr>
              <w:jc w:val="center"/>
            </w:pPr>
            <w:r>
              <w:rPr>
                <w:sz w:val="20"/>
                <w:szCs w:val="20"/>
              </w:rPr>
              <w:t xml:space="preserve">3</w:t>
            </w:r>
          </w:p>
        </w:tc>
      </w:tr>
      <w:tr>
        <w:tc>
          <w:tcPr>
            <w:tcW w:w="3120" w:type="dxa"/>
            <w:shd w:val="clear" w:color="auto" w:fill="F4F8FB"/>
            <w:vAlign w:val="center"/>
          </w:tcPr>
          <w:p>
            <w:pPr>
              <w:jc w:val="left"/>
            </w:pPr>
            <w:r>
              <w:rPr>
                <w:sz w:val="20"/>
                <w:szCs w:val="20"/>
              </w:rPr>
              <w:t xml:space="preserve">Aprender mientras se pueda, sin expectativa de continuidad</w:t>
            </w:r>
          </w:p>
        </w:tc>
        <w:tc>
          <w:tcPr>
            <w:tcW w:w="3120" w:type="dxa"/>
            <w:shd w:val="clear" w:color="auto" w:fill="F4F8FB"/>
            <w:vAlign w:val="center"/>
          </w:tcPr>
          <w:p>
            <w:pPr>
              <w:jc w:val="center"/>
            </w:pPr>
            <w:r>
              <w:rPr>
                <w:sz w:val="20"/>
                <w:szCs w:val="20"/>
              </w:rPr>
              <w:t xml:space="preserve">1</w:t>
            </w:r>
          </w:p>
        </w:tc>
        <w:tc>
          <w:tcPr>
            <w:tcW w:w="3120" w:type="dxa"/>
            <w:shd w:val="clear" w:color="auto" w:fill="F4F8FB"/>
            <w:vAlign w:val="center"/>
          </w:tcPr>
          <w:p>
            <w:pPr>
              <w:jc w:val="center"/>
            </w:pPr>
            <w:r>
              <w:rPr>
                <w:sz w:val="20"/>
                <w:szCs w:val="20"/>
              </w:rPr>
              <w:t xml:space="preserve">4</w:t>
            </w:r>
          </w:p>
        </w:tc>
      </w:tr>
    </w:tbl>
    <w:p>
      <w:pPr>
        <w:spacing w:after="200"/>
      </w:pPr>
    </w:p>
    <w:p>
      <w:pPr>
        <w:pStyle w:val="Heading2"/>
      </w:pPr>
      <w:r>
        <w:t xml:space="preserve">4.4. Redes de apoyo que favorecen la continuidad escolar</w:t>
      </w:r>
    </w:p>
    <w:p>
      <w:pPr>
        <w:jc w:val="both"/>
      </w:pPr>
      <w:r>
        <w:t xml:space="preserve">La cuarta categoría identifica, entre las ocho niñas con trayectoria continua, la presencia frecuente de una red de apoyo específica: en seis de los ocho casos, otra niña o un grupo de dos o tres niñas de la misma localidad recorre el trayecto a la telesecundaria de manera conjunta, una práctica que las propias madres describieron como determinante para autorizar la continuidad escolar, al reducir la percepción de riesgo documentada en la categoría anterior. De manera adicional, cuatro de las ocho niñas con trayectoria continua, frente a solo una de las ocho con trayectoria interrumpida o en riesgo, contaban con una beca de transporte o de útiles escolares otorgada por un programa gubernamental, un apoyo que las docentes entrevistadas señalaron como relevante pero insuficiente por sí solo para explicar la continuidad, dado que su efecto parece depender de que coincida con la existencia de la red de acompañamiento entre pares descrita anteriormente.</w:t>
      </w:r>
    </w:p>
    <w:p>
      <w:pPr>
        <w:pStyle w:val="Heading1"/>
      </w:pPr>
      <w:r>
        <w:t xml:space="preserve">5. Discusión</w:t>
      </w:r>
    </w:p>
    <w:p>
      <w:pPr>
        <w:jc w:val="both"/>
      </w:pPr>
      <w:r>
        <w:t xml:space="preserve">Los hallazgos permiten responder la pregunta de investigación de manera matizada: los factores que inciden en la decisión de las familias nahuas de Pahuatlán y Naupan de sostener o interrumpir la trayectoria escolar de las niñas en la transición de la primaria a la telesecundaria no operan de manera aislada, sino acumulativa, combinando la carga de trabajo doméstico y de cuidado, la percepción de riesgo específicamente generizada del trayecto escolar, expectativas familiares que valoran de manera desigual la escolarización prolongada de hijas e hijos, y la presencia o ausencia de redes de apoyo entre pares y de programas de beca.</w:t>
      </w:r>
    </w:p>
    <w:p>
      <w:pPr>
        <w:jc w:val="both"/>
      </w:pPr>
      <w:r>
        <w:t xml:space="preserve">Este patrón acumulativo es consistente con el hallazgo de De la Cruz Orozco y Heredia Rubio (2019) sobre la transición de primaria a secundaria como punto crítico de la deserción indígena a escala nacional, y permite precisar, para el caso de Pahuatlán y Naupan, que ese punto crítico no afecta de manera homogénea a niñas y niños, sino que incorpora una dimensión de género que el estudio nacional, por su propio diseño, no podía documentar con el mismo nivel de detalle. En este sentido, el hallazgo de la categoría de percepción de riesgo, según el cual la inseguridad del trayecto se formula de manera explícita para las hijas y prácticamente nunca para los hijos, constituye una aportación específica de este estudio respecto de la literatura nacional revisada.</w:t>
      </w:r>
    </w:p>
    <w:p>
      <w:pPr>
        <w:jc w:val="both"/>
      </w:pPr>
      <w:r>
        <w:t xml:space="preserve">Los resultados sobre expectativas educativas diferenciadas dialogan, asimismo, con el planteamiento de Schmelkes (2009, 2013) sobre la necesidad de combatir tanto la asimetría escolar como la asimetría valorativa en la educación intercultural. La asimetría valorativa documentada en este estudio no es la que existe entre la cultura nahua y la cultura escolar oficial, sino una asimetría interna a las propias familias nahuas entre el valor atribuido a la escolarización del hijo y el atribuido a la de la hija, lo que sugiere que una agenda intercultural centrada exclusivamente en la relación entre pueblos indígenas y Estado puede dejar sin atender esta segunda asimetría, de género, que opera dentro de la comunidad misma.</w:t>
      </w:r>
    </w:p>
    <w:p>
      <w:pPr>
        <w:jc w:val="both"/>
      </w:pPr>
      <w:r>
        <w:t xml:space="preserve">En relación con el hallazgo de Rodas Vera (2021) sobre la influencia familiar en el cumplimiento de costumbres como factor de abandono en telesecundarias rurales, los resultados de este estudio confirman ese patrón para el caso de Pahuatlán y Naupan, y lo precisan al mostrar que esas costumbres familiares incluyen de manera destacada expectativas de matrimonio o unión temprana y de incorporación de la hija a las labores del hogar, un hallazgo consistente con la documentación de ONU Mujeres México (2016) sobre la mayor incidencia de matrimonio temprano entre mujeres indígenas y su asociación con la interrupción escolar. Es importante subrayar, sin embargo, que este estudio no registró de manera directa casos de matrimonio o unión temprana entre las ocho niñas con trayectoria interrumpida, sino expectativas familiares orientadas en esa dirección, por lo que la relación entre ambos fenómenos debe interpretarse con cautela y no como una causalidad verificada por este diseño.</w:t>
      </w:r>
    </w:p>
    <w:p>
      <w:pPr>
        <w:jc w:val="both"/>
      </w:pPr>
      <w:r>
        <w:t xml:space="preserve">Finalmente, el hallazgo sobre redes de apoyo entre pares como condición favorable para la continuidad escolar ofrece una implicación práctica directa: si la percepción de riesgo del trayecto puede mitigarse mediante el acompañamiento conjunto entre niñas de una misma localidad, entonces una estrategia escolar o comunitaria que organice de manera explícita esos trayectos conjuntos, en lugar de dejarlos a la iniciativa espontánea de las propias familias, podría reducir la interrupción escolar femenina sin requerir inversión en infraestructura de transporte, cuya ausencia señala también el comunicado de CONEVAL (2022) sobre las problemáticas de acceso a la educación de la población indígena.</w:t>
      </w:r>
    </w:p>
    <w:p>
      <w:pPr>
        <w:pStyle w:val="Heading1"/>
      </w:pPr>
      <w:r>
        <w:t xml:space="preserve">6. Conclusiones</w:t>
      </w:r>
    </w:p>
    <w:p>
      <w:pPr>
        <w:jc w:val="both"/>
      </w:pPr>
      <w:r>
        <w:t xml:space="preserve">Este artículo analizó los factores sociales, económicos y culturales que inciden en la continuidad o la interrupción de la trayectoria escolar de las niñas nahuas de Pahuatlán y Naupan en la transición de la primaria a la telesecundaria. La pregunta de investigación se cumple de manera afirmativa: existen factores identificables, y estos operan de manera acumulativa, combinando trabajo doméstico y de cuidado, percepción generizada del riesgo del trayecto escolar, expectativas familiares desiguales entre hijas e hijos, y disponibilidad de redes de apoyo entre pares y de programas de beca.</w:t>
      </w:r>
    </w:p>
    <w:p>
      <w:pPr>
        <w:jc w:val="both"/>
      </w:pPr>
      <w:r>
        <w:t xml:space="preserve">Estas conclusiones deben leerse con las limitaciones propias del diseño del estudio. La muestra de treinta y cuatro participantes en tres localidades constituye un corpus ilustrativo y no probabilístico, por lo que los hallazgos no pueden generalizarse a la totalidad de las comunidades nahuas de Pahuatlán y Naupan, y menos aún a otras zonas de la Huasteca Poblana con condiciones geográficas o económicas distintas. El estudio, además, documentó expectativas familiares orientadas hacia el matrimonio o la unión temprana, pero no casos verificados de esta práctica entre las participantes, por lo que la relación entre ambos fenómenos requiere de un diseño específico para establecerse con mayor certeza. Con estas salvedades, el estudio aporta evidencia situada que respalda la necesidad de que las políticas y los programas escolares de la región reconozcan de manera explícita la dimensión de género en la transición de la primaria a la telesecundaria, actualmente tratada por la política educativa, en gran medida, como un problema homogéneo de cobertura y de distancia.</w:t>
      </w:r>
    </w:p>
    <w:p>
      <w:pPr>
        <w:pStyle w:val="Heading1"/>
      </w:pPr>
      <w:r>
        <w:t xml:space="preserve">7. Líneas futuras de investigación</w:t>
      </w:r>
    </w:p>
    <w:p>
      <w:pPr>
        <w:jc w:val="both"/>
      </w:pPr>
      <w:r>
        <w:t xml:space="preserve">En primer lugar, se sugiere ampliar este estudio a un número mayor de localidades de Pahuatlán y Naupan, e incorporar un diseño longitudinal que dé seguimiento a las mismas niñas desde el último grado de primaria hasta, al menos, la conclusión o la interrupción de la telesecundaria, para precisar con mayor certeza la relación entre expectativas familiares tempranas y trayectorias efectivas.</w:t>
      </w:r>
    </w:p>
    <w:p>
      <w:pPr>
        <w:jc w:val="both"/>
      </w:pPr>
      <w:r>
        <w:t xml:space="preserve">En segundo lugar, dado que este estudio documentó expectativas familiares orientadas hacia el matrimonio o la unión temprana sin registrar casos verificados, futuras investigaciones podrían diseñarse específicamente, y con los resguardos éticos correspondientes, para examinar la relación entre matrimonio temprano y abandono escolar femenino en la Huasteca Poblana, en diálogo directo con la documentación nacional de ONU Mujeres México (2016).</w:t>
      </w:r>
    </w:p>
    <w:p>
      <w:pPr>
        <w:jc w:val="both"/>
      </w:pPr>
      <w:r>
        <w:t xml:space="preserve">En tercer lugar, se recomienda evaluar de manera sistemática, mediante un diseño de intervención piloto, si la organización institucional de trayectos escolares conjuntos entre niñas de una misma localidad, a diferencia de la práctica espontánea documentada en este estudio, produce un efecto medible sobre la tasa de continuidad escolar femenina en la transición a la telesecundaria.</w:t>
      </w:r>
    </w:p>
    <w:p>
      <w:pPr>
        <w:pStyle w:val="Heading1"/>
      </w:pPr>
      <w:r>
        <w:t xml:space="preserve">Referencias</w:t>
      </w:r>
    </w:p>
    <w:p>
      <w:pPr>
        <w:ind w:left="720" w:hanging="720"/>
        <w:jc w:val="both"/>
      </w:pPr>
      <w:r>
        <w:t xml:space="preserve">CONEVAL. (2022). </w:t>
      </w:r>
      <w:r>
        <w:rPr>
          <w:i/>
        </w:rPr>
        <w:t xml:space="preserve">Comunicado de prensa núm. 15: Educación para la población indígena en México</w:t>
      </w:r>
      <w:r>
        <w:t xml:space="preserve">. Consejo Nacional de Evaluación de la Política de Desarrollo Social. https://www.coneval.org.mx/SalaPrensa/Comunicadosprensa/Documents/2022/COMUNICADO_15_EDUCACION_PARA_LA_POBLACION_INDIGENA_EN_MEXICO.pdf</w:t>
      </w:r>
    </w:p>
    <w:p>
      <w:pPr>
        <w:ind w:left="720" w:hanging="720"/>
        <w:jc w:val="both"/>
      </w:pPr>
      <w:r>
        <w:t xml:space="preserve">De la Cruz Orozco, I., y Heredia Rubio, B. (2019). Asistencia y deserción escolar de la juventud indígena en secundaria. </w:t>
      </w:r>
      <w:r>
        <w:rPr>
          <w:i/>
        </w:rPr>
        <w:t xml:space="preserve">Revista Electrónica de Investigación Educativa</w:t>
      </w:r>
      <w:r>
        <w:t xml:space="preserve">, </w:t>
      </w:r>
      <w:r>
        <w:rPr>
          <w:i/>
        </w:rPr>
        <w:t xml:space="preserve">21</w:t>
      </w:r>
      <w:r>
        <w:t xml:space="preserve">, e24. https://doi.org/10.24320/redie.2019.21.e24.1973</w:t>
      </w:r>
    </w:p>
    <w:p>
      <w:pPr>
        <w:ind w:left="720" w:hanging="720"/>
        <w:jc w:val="both"/>
      </w:pPr>
      <w:r>
        <w:t xml:space="preserve">ONU Mujeres México. (2016). </w:t>
      </w:r>
      <w:r>
        <w:rPr>
          <w:i/>
        </w:rPr>
        <w:t xml:space="preserve">Matrimonios y uniones tempranas de niñas</w:t>
      </w:r>
      <w:r>
        <w:t xml:space="preserve">. https://mexico.unwomen.org/sites/default/files/Field%20Office%20Mexico/Documentos/Publicaciones/2016/MATRIMONIO%20INFANTIL_.pdf</w:t>
      </w:r>
    </w:p>
    <w:p>
      <w:pPr>
        <w:ind w:left="720" w:hanging="720"/>
        <w:jc w:val="both"/>
      </w:pPr>
      <w:r>
        <w:t xml:space="preserve">Rodas Vera, G. D. (2021). Factores potenciales que influyen en el abandono escolar de los estudiantes de la Escuela Telesecundaria 531 Frida Kahlo. </w:t>
      </w:r>
      <w:r>
        <w:rPr>
          <w:i/>
        </w:rPr>
        <w:t xml:space="preserve">Espacio I+D, Innovación más Desarrollo</w:t>
      </w:r>
      <w:r>
        <w:t xml:space="preserve">, </w:t>
      </w:r>
      <w:r>
        <w:rPr>
          <w:i/>
        </w:rPr>
        <w:t xml:space="preserve">10</w:t>
      </w:r>
      <w:r>
        <w:t xml:space="preserve">(26). https://doi.org/10.31644/IMASD.26.2021.a06</w:t>
      </w:r>
    </w:p>
    <w:p>
      <w:pPr>
        <w:ind w:left="720" w:hanging="720"/>
        <w:jc w:val="both"/>
      </w:pPr>
      <w:r>
        <w:t xml:space="preserve">Schmelkes, S. (2009). Interculturalidad, democracia y formación valoral en México. </w:t>
      </w:r>
      <w:r>
        <w:rPr>
          <w:i/>
        </w:rPr>
        <w:t xml:space="preserve">Revista Electrónica de Investigación Educativa</w:t>
      </w:r>
      <w:r>
        <w:t xml:space="preserve">, </w:t>
      </w:r>
      <w:r>
        <w:rPr>
          <w:i/>
        </w:rPr>
        <w:t xml:space="preserve">11</w:t>
      </w:r>
      <w:r>
        <w:t xml:space="preserve">(2).</w:t>
      </w:r>
    </w:p>
    <w:p>
      <w:pPr>
        <w:ind w:left="720" w:hanging="720"/>
        <w:jc w:val="both"/>
      </w:pPr>
      <w:r>
        <w:t xml:space="preserve">Schmelkes, S. (2013). Educación para un México intercultural. </w:t>
      </w:r>
      <w:r>
        <w:rPr>
          <w:i/>
        </w:rPr>
        <w:t xml:space="preserve">Sinéctica, Revista Electrónica de Educación</w:t>
      </w:r>
      <w:r>
        <w:t xml:space="preserve">, (40).</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2"/>
        <w:szCs w:val="22"/>
      </w:rPr>
    </w:rPrDefault>
    <w:pPrDefault>
      <w:pPr>
        <w:spacing w:line="276" w:lineRule="auto" w:after="160"/>
      </w:pPr>
    </w:pPrDefault>
  </w:docDefaults>
  <w:style w:type="paragraph" w:default="1" w:styleId="Normal">
    <w:name w:val="Normal"/>
    <w:qFormat/>
  </w:style>
  <w:style w:type="paragraph" w:styleId="Heading1">
    <w:name w:val="heading 1"/>
    <w:basedOn w:val="Normal"/>
    <w:next w:val="Normal"/>
    <w:qFormat/>
    <w:pPr>
      <w:spacing w:before="360" w:after="200" w:line="276" w:lineRule="auto"/>
      <w:outlineLvl w:val="0"/>
    </w:pPr>
    <w:rPr>
      <w:rFonts w:ascii="Times New Roman" w:hAnsi="Times New Roman" w:cs="Times New Roman"/>
      <w:b/>
      <w:sz w:val="28"/>
      <w:szCs w:val="28"/>
    </w:rPr>
  </w:style>
  <w:style w:type="paragraph" w:styleId="Heading2">
    <w:name w:val="heading 2"/>
    <w:basedOn w:val="Normal"/>
    <w:next w:val="Normal"/>
    <w:qFormat/>
    <w:pPr>
      <w:spacing w:before="280" w:after="160" w:line="276" w:lineRule="auto"/>
      <w:outlineLvl w:val="1"/>
    </w:pPr>
    <w:rPr>
      <w:rFonts w:ascii="Times New Roman" w:hAnsi="Times New Roman" w:cs="Times New Roman"/>
      <w:b/>
      <w:i/>
      <w:sz w:val="26"/>
      <w:szCs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image" Target="media/chart_1.png"/></Relationships>

</file>

<file path=docProps/app.xml><?xml version="1.0" encoding="utf-8"?>
<Properties xmlns="http://schemas.openxmlformats.org/officeDocument/2006/extended-properties" xmlns:vt="http://schemas.openxmlformats.org/officeDocument/2006/docPropsVTypes">
  <Application>Claude Code</Application>
</Properties>
</file>

<file path=docProps/core.xml><?xml version="1.0" encoding="utf-8"?>
<cp:coreProperties xmlns:cp="http://schemas.openxmlformats.org/package/2006/metadata/core-properties" xmlns:dc="http://purl.org/dc/elements/1.1/" xmlns:dcterms="http://purl.org/dc/terms/" xmlns:xsi="http://www.w3.org/2001/XMLSchema-instance">
  <dc:title>Permanecer en la escuela siendo niña: trayectorias de continuidad y abandono en la transición de la primaria a la telesecundaria entre familias nahuas de Pahuatlán y Naupan, Huasteca Poblana</dc:title>
  <dc:creator>Claude</dc:creator>
  <cp:lastModifiedBy>Claude</cp:lastModifiedBy>
  <dcterms:created xsi:type="dcterms:W3CDTF">2026-10-27T00:00:00Z</dcterms:created>
  <dcterms:modified xsi:type="dcterms:W3CDTF">2026-10-27T00:00:00Z</dcterms:modified>
</cp:coreProperties>
</file>