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14"/>
          <w:szCs w:val="14"/>
        </w:rPr>
        <w:t xml:space="preserve"/>
      </w:r>
    </w:p>
    <w:p>
      <w:pPr>
        <w:spacing w:after="0"/>
      </w:pPr>
      <w:r>
        <w:rPr>
          <w:sz w:val="14"/>
          <w:szCs w:val="14"/>
        </w:rPr>
        <w:t xml:space="preserve"/>
      </w:r>
    </w:p>
    <w:p>
      <w:pPr>
        <w:spacing w:after="0"/>
      </w:pPr>
      <w:r>
        <w:rPr>
          <w:sz w:val="14"/>
          <w:szCs w:val="14"/>
        </w:rPr>
        <w:t xml:space="preserve"/>
      </w:r>
    </w:p>
    <w:p>
      <w:pPr>
        <w:spacing w:after="0"/>
      </w:pPr>
      <w:r>
        <w:rPr>
          <w:sz w:val="14"/>
          <w:szCs w:val="14"/>
        </w:rPr>
        <w:t xml:space="preserve"/>
      </w:r>
    </w:p>
    <w:p>
      <w:pPr>
        <w:spacing w:after="0"/>
      </w:pPr>
      <w:r>
        <w:rPr>
          <w:sz w:val="14"/>
          <w:szCs w:val="14"/>
        </w:rPr>
        <w:t xml:space="preserve"/>
      </w:r>
    </w:p>
    <w:p>
      <w:pPr>
        <w:spacing w:after="0"/>
      </w:pPr>
      <w:r>
        <w:rPr>
          <w:sz w:val="14"/>
          <w:szCs w:val="14"/>
        </w:rPr>
        <w:t xml:space="preserve"/>
      </w:r>
    </w:p>
    <w:p>
      <w:pPr>
        <w:spacing w:after="80"/>
        <w:jc w:val="center"/>
      </w:pPr>
      <w:r>
        <w:rPr>
          <w:rFonts w:ascii="Calibri" w:cs="Calibri" w:eastAsia="Calibri" w:hAnsi="Calibri"/>
          <w:b/>
          <w:bCs/>
          <w:color w:val="1F4E79"/>
          <w:sz w:val="56"/>
          <w:szCs w:val="56"/>
        </w:rPr>
        <w:t xml:space="preserve">FEBECA</w:t>
      </w:r>
    </w:p>
    <w:p>
      <w:pPr>
        <w:spacing w:after="400"/>
        <w:jc w:val="center"/>
      </w:pPr>
      <w:r>
        <w:rPr>
          <w:rFonts w:ascii="Calibri" w:cs="Calibri" w:eastAsia="Calibri" w:hAnsi="Calibri"/>
          <w:color w:val="5A6B75"/>
          <w:sz w:val="36"/>
          <w:szCs w:val="36"/>
        </w:rPr>
        <w:t xml:space="preserve">Dashboard Inteligente de Compras</w:t>
      </w:r>
    </w:p>
    <w:p>
      <w:pPr>
        <w:spacing w:after="120"/>
        <w:jc w:val="center"/>
      </w:pPr>
      <w:r>
        <w:rPr>
          <w:rFonts w:ascii="Calibri" w:cs="Calibri" w:eastAsia="Calibri" w:hAnsi="Calibri"/>
          <w:b/>
          <w:bCs/>
          <w:sz w:val="24"/>
          <w:szCs w:val="24"/>
        </w:rPr>
        <w:t xml:space="preserve">Documento técnico de especificación</w:t>
      </w:r>
    </w:p>
    <w:p>
      <w:pPr>
        <w:spacing w:after="600"/>
        <w:jc w:val="center"/>
      </w:pPr>
      <w:r>
        <w:rPr>
          <w:rFonts w:ascii="Calibri" w:cs="Calibri" w:eastAsia="Calibri" w:hAnsi="Calibri"/>
          <w:color w:val="5A6B75"/>
          <w:sz w:val="21"/>
          <w:szCs w:val="21"/>
        </w:rPr>
        <w:t xml:space="preserve">Marca piloto: PCP  ·  Departamento de Compras</w:t>
      </w:r>
    </w:p>
    <w:p>
      <w:pPr>
        <w:jc w:val="center"/>
      </w:pPr>
      <w:r>
        <w:rPr>
          <w:rFonts w:ascii="Calibri" w:cs="Calibri" w:eastAsia="Calibri" w:hAnsi="Calibri"/>
          <w:color w:val="5A6B75"/>
          <w:sz w:val="20"/>
          <w:szCs w:val="20"/>
        </w:rPr>
        <w:t xml:space="preserve">Septiembre de 2026</w:t>
      </w:r>
    </w:p>
    <w:p>
      <w:r>
        <w:br w:type="page"/>
      </w:r>
    </w:p>
    <w:p>
      <w:pPr>
        <w:pStyle w:val="Heading1"/>
        <w:spacing w:after="160" w:before="360"/>
      </w:pPr>
      <w:r>
        <w:rPr>
          <w:rFonts w:ascii="Calibri" w:cs="Calibri" w:eastAsia="Calibri" w:hAnsi="Calibri"/>
          <w:b/>
          <w:bCs/>
          <w:color w:val="1F4E79"/>
          <w:sz w:val="30"/>
          <w:szCs w:val="30"/>
        </w:rPr>
        <w:t xml:space="preserve">Contenido</w:t>
      </w:r>
    </w:p>
    <w:sdt>
      <w:sdtPr>
        <w:alias w:val="Tabla de contenido"/>
      </w:sdtPr>
      <w:sdtContent>
        <w:p>
          <w:r>
            <w:fldChar w:fldCharType="begin" w:dirty="true"/>
            <w:instrText xml:space="preserve">TOC \h \o "1-3"</w:instrText>
            <w:fldChar w:fldCharType="separate"/>
          </w:r>
        </w:p>
        <w:p>
          <w:r>
            <w:fldChar w:fldCharType="end"/>
          </w:r>
        </w:p>
      </w:sdtContent>
    </w:sdt>
    <w:p>
      <w:pPr>
        <w:spacing w:after="120" w:line="276"/>
      </w:pPr>
      <w:r>
        <w:rPr>
          <w:rFonts w:ascii="Calibri" w:cs="Calibri" w:eastAsia="Calibri" w:hAnsi="Calibri"/>
          <w:i/>
          <w:iCs/>
          <w:color w:val="5A6B75"/>
          <w:sz w:val="18"/>
          <w:szCs w:val="18"/>
        </w:rPr>
        <w:t xml:space="preserve">(Para actualizar el índice en Word: clic derecho sobre él y «Actualizar campos».)</w:t>
      </w:r>
    </w:p>
    <w:p>
      <w:r>
        <w:br w:type="page"/>
      </w:r>
    </w:p>
    <w:p>
      <w:pPr>
        <w:pStyle w:val="Heading1"/>
        <w:spacing w:after="160" w:before="360"/>
      </w:pPr>
      <w:r>
        <w:rPr>
          <w:rFonts w:ascii="Calibri" w:cs="Calibri" w:eastAsia="Calibri" w:hAnsi="Calibri"/>
          <w:b/>
          <w:bCs/>
          <w:color w:val="1F4E79"/>
          <w:sz w:val="30"/>
          <w:szCs w:val="30"/>
        </w:rPr>
        <w:t xml:space="preserve">1. Para qué es esto</w:t>
      </w:r>
    </w:p>
    <w:p>
      <w:pPr>
        <w:spacing w:after="120" w:line="276"/>
      </w:pPr>
      <w:r>
        <w:rPr>
          <w:rFonts w:ascii="Calibri" w:cs="Calibri" w:eastAsia="Calibri" w:hAnsi="Calibri"/>
          <w:sz w:val="21"/>
          <w:szCs w:val="21"/>
        </w:rPr>
        <w:t xml:space="preserve">Febeca es una distribuidora mayorista de artículos de ferretería. Su cliente objetivo son las ferreterías, y opera en Venezuela, Colombia, Costa Rica y Panamá.</w:t>
      </w:r>
    </w:p>
    <w:p>
      <w:pPr>
        <w:spacing w:after="120" w:line="276"/>
      </w:pPr>
      <w:r>
        <w:rPr>
          <w:rFonts w:ascii="Calibri" w:cs="Calibri" w:eastAsia="Calibri" w:hAnsi="Calibri"/>
          <w:sz w:val="21"/>
          <w:szCs w:val="21"/>
        </w:rPr>
        <w:t xml:space="preserve">El proyecto es para el departamento de Compras. Cada comprador lleva una cartera de marcas —nacionales e internacionales— y cada semana tiene que presentarle a la gerencia cómo van esas marcas, siguiendo unos parámetros que la gerencia exige.</w:t>
      </w:r>
    </w:p>
    <w:p>
      <w:pPr>
        <w:pStyle w:val="Heading2"/>
        <w:spacing w:after="120" w:before="260"/>
      </w:pPr>
      <w:r>
        <w:rPr>
          <w:rFonts w:ascii="Calibri" w:cs="Calibri" w:eastAsia="Calibri" w:hAnsi="Calibri"/>
          <w:b/>
          <w:bCs/>
          <w:color w:val="1F4E79"/>
          <w:sz w:val="24"/>
          <w:szCs w:val="24"/>
        </w:rPr>
        <w:t xml:space="preserve">El problema</w:t>
      </w:r>
    </w:p>
    <w:p>
      <w:pPr>
        <w:spacing w:after="120" w:line="276"/>
      </w:pPr>
      <w:r>
        <w:rPr>
          <w:rFonts w:ascii="Calibri" w:cs="Calibri" w:eastAsia="Calibri" w:hAnsi="Calibri"/>
          <w:sz w:val="21"/>
          <w:szCs w:val="21"/>
        </w:rPr>
        <w:t xml:space="preserve">Toda esa información sale del SIM, el sistema de reportería de la empresa. El SIM es lento e incómodo de usar: armar la presentación semanal le consume al comprador buena parte de una mañana, extrayendo reportes, pegándolos en Excel y ordenándolos a mano.</w:t>
      </w:r>
    </w:p>
    <w:p>
      <w:pPr>
        <w:pStyle w:val="Heading2"/>
        <w:spacing w:after="120" w:before="260"/>
      </w:pPr>
      <w:r>
        <w:rPr>
          <w:rFonts w:ascii="Calibri" w:cs="Calibri" w:eastAsia="Calibri" w:hAnsi="Calibri"/>
          <w:b/>
          <w:bCs/>
          <w:color w:val="1F4E79"/>
          <w:sz w:val="24"/>
          <w:szCs w:val="24"/>
        </w:rPr>
        <w:t xml:space="preserve">Lo que tiene que lograr el dashboard</w:t>
      </w:r>
    </w:p>
    <w:p>
      <w:pPr>
        <w:pStyle w:val="ListParagraph"/>
        <w:numPr>
          <w:ilvl w:val="0"/>
          <w:numId w:val="2"/>
        </w:numPr>
        <w:spacing w:after="80" w:line="276"/>
      </w:pPr>
      <w:r>
        <w:rPr>
          <w:rFonts w:ascii="Calibri" w:cs="Calibri" w:eastAsia="Calibri" w:hAnsi="Calibri"/>
          <w:sz w:val="21"/>
          <w:szCs w:val="21"/>
        </w:rPr>
        <w:t xml:space="preserve">Reemplazar ese trabajo manual: que el comprador cargue los archivos y vea todo listo.</w:t>
      </w:r>
    </w:p>
    <w:p>
      <w:pPr>
        <w:pStyle w:val="ListParagraph"/>
        <w:numPr>
          <w:ilvl w:val="0"/>
          <w:numId w:val="2"/>
        </w:numPr>
        <w:spacing w:after="80" w:line="276"/>
      </w:pPr>
      <w:r>
        <w:rPr>
          <w:rFonts w:ascii="Calibri" w:cs="Calibri" w:eastAsia="Calibri" w:hAnsi="Calibri"/>
          <w:sz w:val="21"/>
          <w:szCs w:val="21"/>
        </w:rPr>
        <w:t xml:space="preserve">Calcular lo que el SIM no da: pronósticos, pedidos sugeridos, rankings y alertas.</w:t>
      </w:r>
    </w:p>
    <w:p>
      <w:pPr>
        <w:pStyle w:val="ListParagraph"/>
        <w:numPr>
          <w:ilvl w:val="0"/>
          <w:numId w:val="2"/>
        </w:numPr>
        <w:spacing w:after="80" w:line="276"/>
      </w:pPr>
      <w:r>
        <w:rPr>
          <w:rFonts w:ascii="Calibri" w:cs="Calibri" w:eastAsia="Calibri" w:hAnsi="Calibri"/>
          <w:sz w:val="21"/>
          <w:szCs w:val="21"/>
        </w:rPr>
        <w:t xml:space="preserve">Generar la presentación para gerencia en un clic.</w:t>
      </w:r>
    </w:p>
    <w:p>
      <w:pPr>
        <w:spacing w:after="0"/>
      </w:pPr>
      <w:r>
        <w:rPr>
          <w:sz w:val="14"/>
          <w:szCs w:val="14"/>
        </w:rPr>
        <w:t xml:space="preserve"/>
      </w:r>
    </w:p>
    <w:tbl>
      <w:tblPr>
        <w:tblW w:type="dxa" w:w="9360"/>
        <w:tblBorders>
          <w:top w:val="single" w:color="D6DCE1" w:sz="2"/>
          <w:left w:val="single" w:color="C0504D" w:sz="18"/>
          <w:bottom w:val="single" w:color="D6DCE1" w:sz="2"/>
          <w:right w:val="single" w:color="D6DCE1" w:sz="2"/>
          <w:insideH w:val="single" w:color="D6DCE1" w:sz="2"/>
          <w:insideV w:val="single" w:color="D6DCE1" w:sz="2"/>
        </w:tblBorders>
      </w:tblPr>
      <w:tblGrid>
        <w:gridCol w:w="9360"/>
      </w:tblGrid>
      <w:tr>
        <w:tc>
          <w:tcPr>
            <w:tcW w:type="dxa" w:w="9360"/>
            <w:shd w:fill="F2F5F7" w:color="auto" w:val="clear"/>
            <w:tcMar>
              <w:top w:type="dxa" w:w="130"/>
              <w:left w:type="dxa" w:w="170"/>
              <w:bottom w:type="dxa" w:w="130"/>
              <w:right w:type="dxa" w:w="170"/>
            </w:tcMar>
          </w:tcPr>
          <w:p>
            <w:pPr>
              <w:spacing w:after="60"/>
            </w:pPr>
            <w:r>
              <w:rPr>
                <w:rFonts w:ascii="Calibri" w:cs="Calibri" w:eastAsia="Calibri" w:hAnsi="Calibri"/>
                <w:b/>
                <w:bCs/>
                <w:color w:val="C0504D"/>
                <w:sz w:val="20"/>
                <w:szCs w:val="20"/>
              </w:rPr>
              <w:t xml:space="preserve">Restricción de diseño más importante</w:t>
            </w:r>
          </w:p>
          <w:p>
            <w:pPr>
              <w:spacing w:after="0" w:line="260"/>
            </w:pPr>
            <w:r>
              <w:rPr>
                <w:rFonts w:ascii="Calibri" w:cs="Calibri" w:eastAsia="Calibri" w:hAnsi="Calibri"/>
                <w:sz w:val="20"/>
                <w:szCs w:val="20"/>
              </w:rPr>
              <w:t xml:space="preserve">Los compradores no tienen tiempo para ordenar, renombrar ni pegar archivos. El flujo tiene que ser: descargar del SIM, arrastrar todo junto al navegador, listo. Cualquier paso manual adicional hace que no lo usen.</w:t>
            </w:r>
          </w:p>
        </w:tc>
      </w:tr>
    </w:tbl>
    <w:p>
      <w:pPr>
        <w:spacing w:after="0"/>
      </w:pPr>
      <w:r>
        <w:rPr>
          <w:sz w:val="14"/>
          <w:szCs w:val="14"/>
        </w:rPr>
        <w:t xml:space="preserve"/>
      </w:r>
    </w:p>
    <w:p>
      <w:pPr>
        <w:spacing w:after="120" w:line="276"/>
      </w:pPr>
      <w:r>
        <w:rPr>
          <w:rFonts w:ascii="Calibri" w:cs="Calibri" w:eastAsia="Calibri" w:hAnsi="Calibri"/>
          <w:sz w:val="21"/>
          <w:szCs w:val="21"/>
        </w:rPr>
        <w:t xml:space="preserve">La marca que se usó como piloto es PCP, que vende artículos de plomería: llaves, canillas, uniones de PVC y aspersores.</w:t>
      </w:r>
    </w:p>
    <w:p>
      <w:r>
        <w:br w:type="page"/>
      </w:r>
    </w:p>
    <w:p>
      <w:pPr>
        <w:pStyle w:val="Heading1"/>
        <w:spacing w:after="160" w:before="360"/>
      </w:pPr>
      <w:r>
        <w:rPr>
          <w:rFonts w:ascii="Calibri" w:cs="Calibri" w:eastAsia="Calibri" w:hAnsi="Calibri"/>
          <w:b/>
          <w:bCs/>
          <w:color w:val="1F4E79"/>
          <w:sz w:val="30"/>
          <w:szCs w:val="30"/>
        </w:rPr>
        <w:t xml:space="preserve">2. Qué pidieron los compradores</w:t>
      </w:r>
    </w:p>
    <w:p>
      <w:pPr>
        <w:spacing w:after="120" w:line="276"/>
      </w:pPr>
      <w:r>
        <w:rPr>
          <w:rFonts w:ascii="Calibri" w:cs="Calibri" w:eastAsia="Calibri" w:hAnsi="Calibri"/>
          <w:sz w:val="21"/>
          <w:szCs w:val="21"/>
        </w:rPr>
        <w:t xml:space="preserve">Se entrevistó a los compradores para saber qué información les interesa de verdad. Esto es lo que salió, con la fuente de cada dato:</w:t>
      </w:r>
    </w:p>
    <w:p>
      <w:pPr>
        <w:spacing w:after="0"/>
      </w:pPr>
      <w:r>
        <w:rPr>
          <w:sz w:val="14"/>
          <w:szCs w:val="14"/>
        </w:rPr>
        <w:t xml:space="preserve"/>
      </w:r>
    </w:p>
    <w:tbl>
      <w:tblPr>
        <w:tblW w:type="dxa" w:w="9360"/>
        <w:tblBorders>
          <w:top w:val="single" w:color="D6DCE1" w:sz="2"/>
          <w:left w:val="single" w:color="D6DCE1" w:sz="2"/>
          <w:bottom w:val="single" w:color="D6DCE1" w:sz="2"/>
          <w:right w:val="single" w:color="D6DCE1" w:sz="2"/>
          <w:insideH w:val="single" w:color="D6DCE1" w:sz="2"/>
          <w:insideV w:val="single" w:color="D6DCE1" w:sz="2"/>
        </w:tblBorders>
      </w:tblPr>
      <w:tblGrid>
        <w:gridCol w:w="562"/>
        <w:gridCol w:w="6739"/>
        <w:gridCol w:w="2059"/>
      </w:tblGrid>
      <w:tr>
        <w:trPr>
          <w:tblHeader/>
        </w:trPr>
        <w:tc>
          <w:tcPr>
            <w:tcW w:type="dxa" w:w="562"/>
            <w:shd w:fill="1F4E79"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t>
            </w:r>
          </w:p>
        </w:tc>
        <w:tc>
          <w:tcPr>
            <w:tcW w:type="dxa" w:w="6739"/>
            <w:shd w:fill="1F4E79"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Requerimiento</w:t>
            </w:r>
          </w:p>
        </w:tc>
        <w:tc>
          <w:tcPr>
            <w:tcW w:type="dxa" w:w="2059"/>
            <w:shd w:fill="1F4E79"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Origen</w:t>
            </w:r>
          </w:p>
        </w:tc>
      </w:tr>
      <w:tr>
        <w:tc>
          <w:tcPr>
            <w:tcW w:type="dxa" w:w="562"/>
            <w:tcMar>
              <w:top w:type="dxa" w:w="70"/>
              <w:left w:type="dxa" w:w="110"/>
              <w:bottom w:type="dxa" w:w="70"/>
              <w:right w:type="dxa" w:w="110"/>
            </w:tcMar>
          </w:tcPr>
          <w:p>
            <w:pPr>
              <w:spacing w:after="0" w:line="250"/>
            </w:pPr>
            <w:r>
              <w:rPr>
                <w:rFonts w:ascii="Calibri" w:cs="Calibri" w:eastAsia="Calibri" w:hAnsi="Calibri"/>
                <w:sz w:val="19"/>
                <w:szCs w:val="19"/>
              </w:rPr>
              <w:t xml:space="preserve">1</w:t>
            </w:r>
          </w:p>
        </w:tc>
        <w:tc>
          <w:tcPr>
            <w:tcW w:type="dxa" w:w="6739"/>
            <w:tcMar>
              <w:top w:type="dxa" w:w="70"/>
              <w:left w:type="dxa" w:w="110"/>
              <w:bottom w:type="dxa" w:w="70"/>
              <w:right w:type="dxa" w:w="110"/>
            </w:tcMar>
          </w:tcPr>
          <w:p>
            <w:pPr>
              <w:spacing w:after="0" w:line="250"/>
            </w:pPr>
            <w:r>
              <w:rPr>
                <w:rFonts w:ascii="Calibri" w:cs="Calibri" w:eastAsia="Calibri" w:hAnsi="Calibri"/>
                <w:sz w:val="19"/>
                <w:szCs w:val="19"/>
              </w:rPr>
              <w:t xml:space="preserve">Venta en dólares</w:t>
            </w:r>
          </w:p>
        </w:tc>
        <w:tc>
          <w:tcPr>
            <w:tcW w:type="dxa" w:w="2059"/>
            <w:tcMar>
              <w:top w:type="dxa" w:w="70"/>
              <w:left w:type="dxa" w:w="110"/>
              <w:bottom w:type="dxa" w:w="70"/>
              <w:right w:type="dxa" w:w="110"/>
            </w:tcMar>
          </w:tcPr>
          <w:p>
            <w:pPr>
              <w:spacing w:after="0" w:line="250"/>
            </w:pPr>
            <w:r>
              <w:rPr>
                <w:rFonts w:ascii="Calibri" w:cs="Calibri" w:eastAsia="Calibri" w:hAnsi="Calibri"/>
                <w:sz w:val="19"/>
                <w:szCs w:val="19"/>
              </w:rPr>
              <w:t xml:space="preserve">SIM</w:t>
            </w:r>
          </w:p>
        </w:tc>
      </w:tr>
      <w:tr>
        <w:tc>
          <w:tcPr>
            <w:tcW w:type="dxa" w:w="562"/>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2</w:t>
            </w:r>
          </w:p>
        </w:tc>
        <w:tc>
          <w:tcPr>
            <w:tcW w:type="dxa" w:w="6739"/>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Venta en unidades</w:t>
            </w:r>
          </w:p>
        </w:tc>
        <w:tc>
          <w:tcPr>
            <w:tcW w:type="dxa" w:w="2059"/>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SIM</w:t>
            </w:r>
          </w:p>
        </w:tc>
      </w:tr>
      <w:tr>
        <w:tc>
          <w:tcPr>
            <w:tcW w:type="dxa" w:w="562"/>
            <w:tcMar>
              <w:top w:type="dxa" w:w="70"/>
              <w:left w:type="dxa" w:w="110"/>
              <w:bottom w:type="dxa" w:w="70"/>
              <w:right w:type="dxa" w:w="110"/>
            </w:tcMar>
          </w:tcPr>
          <w:p>
            <w:pPr>
              <w:spacing w:after="0" w:line="250"/>
            </w:pPr>
            <w:r>
              <w:rPr>
                <w:rFonts w:ascii="Calibri" w:cs="Calibri" w:eastAsia="Calibri" w:hAnsi="Calibri"/>
                <w:sz w:val="19"/>
                <w:szCs w:val="19"/>
              </w:rPr>
              <w:t xml:space="preserve">3</w:t>
            </w:r>
          </w:p>
        </w:tc>
        <w:tc>
          <w:tcPr>
            <w:tcW w:type="dxa" w:w="6739"/>
            <w:tcMar>
              <w:top w:type="dxa" w:w="70"/>
              <w:left w:type="dxa" w:w="110"/>
              <w:bottom w:type="dxa" w:w="70"/>
              <w:right w:type="dxa" w:w="110"/>
            </w:tcMar>
          </w:tcPr>
          <w:p>
            <w:pPr>
              <w:spacing w:after="0" w:line="250"/>
            </w:pPr>
            <w:r>
              <w:rPr>
                <w:rFonts w:ascii="Calibri" w:cs="Calibri" w:eastAsia="Calibri" w:hAnsi="Calibri"/>
                <w:sz w:val="19"/>
                <w:szCs w:val="19"/>
              </w:rPr>
              <w:t xml:space="preserve">Venta en toneladas</w:t>
            </w:r>
          </w:p>
        </w:tc>
        <w:tc>
          <w:tcPr>
            <w:tcW w:type="dxa" w:w="2059"/>
            <w:tcMar>
              <w:top w:type="dxa" w:w="70"/>
              <w:left w:type="dxa" w:w="110"/>
              <w:bottom w:type="dxa" w:w="70"/>
              <w:right w:type="dxa" w:w="110"/>
            </w:tcMar>
          </w:tcPr>
          <w:p>
            <w:pPr>
              <w:spacing w:after="0" w:line="250"/>
            </w:pPr>
            <w:r>
              <w:rPr>
                <w:rFonts w:ascii="Calibri" w:cs="Calibri" w:eastAsia="Calibri" w:hAnsi="Calibri"/>
                <w:sz w:val="19"/>
                <w:szCs w:val="19"/>
              </w:rPr>
              <w:t xml:space="preserve">SIM</w:t>
            </w:r>
          </w:p>
        </w:tc>
      </w:tr>
      <w:tr>
        <w:tc>
          <w:tcPr>
            <w:tcW w:type="dxa" w:w="562"/>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4</w:t>
            </w:r>
          </w:p>
        </w:tc>
        <w:tc>
          <w:tcPr>
            <w:tcW w:type="dxa" w:w="6739"/>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Margen de ganancia</w:t>
            </w:r>
          </w:p>
        </w:tc>
        <w:tc>
          <w:tcPr>
            <w:tcW w:type="dxa" w:w="2059"/>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SIM</w:t>
            </w:r>
          </w:p>
        </w:tc>
      </w:tr>
      <w:tr>
        <w:tc>
          <w:tcPr>
            <w:tcW w:type="dxa" w:w="562"/>
            <w:tcMar>
              <w:top w:type="dxa" w:w="70"/>
              <w:left w:type="dxa" w:w="110"/>
              <w:bottom w:type="dxa" w:w="70"/>
              <w:right w:type="dxa" w:w="110"/>
            </w:tcMar>
          </w:tcPr>
          <w:p>
            <w:pPr>
              <w:spacing w:after="0" w:line="250"/>
            </w:pPr>
            <w:r>
              <w:rPr>
                <w:rFonts w:ascii="Calibri" w:cs="Calibri" w:eastAsia="Calibri" w:hAnsi="Calibri"/>
                <w:sz w:val="19"/>
                <w:szCs w:val="19"/>
              </w:rPr>
              <w:t xml:space="preserve">5</w:t>
            </w:r>
          </w:p>
        </w:tc>
        <w:tc>
          <w:tcPr>
            <w:tcW w:type="dxa" w:w="6739"/>
            <w:tcMar>
              <w:top w:type="dxa" w:w="70"/>
              <w:left w:type="dxa" w:w="110"/>
              <w:bottom w:type="dxa" w:w="70"/>
              <w:right w:type="dxa" w:w="110"/>
            </w:tcMar>
          </w:tcPr>
          <w:p>
            <w:pPr>
              <w:spacing w:after="0" w:line="250"/>
            </w:pPr>
            <w:r>
              <w:rPr>
                <w:rFonts w:ascii="Calibri" w:cs="Calibri" w:eastAsia="Calibri" w:hAnsi="Calibri"/>
                <w:sz w:val="19"/>
                <w:szCs w:val="19"/>
              </w:rPr>
              <w:t xml:space="preserve">Inventario</w:t>
            </w:r>
          </w:p>
        </w:tc>
        <w:tc>
          <w:tcPr>
            <w:tcW w:type="dxa" w:w="2059"/>
            <w:tcMar>
              <w:top w:type="dxa" w:w="70"/>
              <w:left w:type="dxa" w:w="110"/>
              <w:bottom w:type="dxa" w:w="70"/>
              <w:right w:type="dxa" w:w="110"/>
            </w:tcMar>
          </w:tcPr>
          <w:p>
            <w:pPr>
              <w:spacing w:after="0" w:line="250"/>
            </w:pPr>
            <w:r>
              <w:rPr>
                <w:rFonts w:ascii="Calibri" w:cs="Calibri" w:eastAsia="Calibri" w:hAnsi="Calibri"/>
                <w:sz w:val="19"/>
                <w:szCs w:val="19"/>
              </w:rPr>
              <w:t xml:space="preserve">SIM</w:t>
            </w:r>
          </w:p>
        </w:tc>
      </w:tr>
      <w:tr>
        <w:tc>
          <w:tcPr>
            <w:tcW w:type="dxa" w:w="562"/>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6</w:t>
            </w:r>
          </w:p>
        </w:tc>
        <w:tc>
          <w:tcPr>
            <w:tcW w:type="dxa" w:w="6739"/>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Tránsito (orden de compra por recibir)</w:t>
            </w:r>
          </w:p>
        </w:tc>
        <w:tc>
          <w:tcPr>
            <w:tcW w:type="dxa" w:w="2059"/>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SIM</w:t>
            </w:r>
          </w:p>
        </w:tc>
      </w:tr>
      <w:tr>
        <w:tc>
          <w:tcPr>
            <w:tcW w:type="dxa" w:w="562"/>
            <w:tcMar>
              <w:top w:type="dxa" w:w="70"/>
              <w:left w:type="dxa" w:w="110"/>
              <w:bottom w:type="dxa" w:w="70"/>
              <w:right w:type="dxa" w:w="110"/>
            </w:tcMar>
          </w:tcPr>
          <w:p>
            <w:pPr>
              <w:spacing w:after="0" w:line="250"/>
            </w:pPr>
            <w:r>
              <w:rPr>
                <w:rFonts w:ascii="Calibri" w:cs="Calibri" w:eastAsia="Calibri" w:hAnsi="Calibri"/>
                <w:sz w:val="19"/>
                <w:szCs w:val="19"/>
              </w:rPr>
              <w:t xml:space="preserve">7</w:t>
            </w:r>
          </w:p>
        </w:tc>
        <w:tc>
          <w:tcPr>
            <w:tcW w:type="dxa" w:w="6739"/>
            <w:tcMar>
              <w:top w:type="dxa" w:w="70"/>
              <w:left w:type="dxa" w:w="110"/>
              <w:bottom w:type="dxa" w:w="70"/>
              <w:right w:type="dxa" w:w="110"/>
            </w:tcMar>
          </w:tcPr>
          <w:p>
            <w:pPr>
              <w:spacing w:after="0" w:line="250"/>
            </w:pPr>
            <w:r>
              <w:rPr>
                <w:rFonts w:ascii="Calibri" w:cs="Calibri" w:eastAsia="Calibri" w:hAnsi="Calibri"/>
                <w:sz w:val="19"/>
                <w:szCs w:val="19"/>
              </w:rPr>
              <w:t xml:space="preserve">Pronóstico de ventas</w:t>
            </w:r>
          </w:p>
        </w:tc>
        <w:tc>
          <w:tcPr>
            <w:tcW w:type="dxa" w:w="2059"/>
            <w:tcMar>
              <w:top w:type="dxa" w:w="70"/>
              <w:left w:type="dxa" w:w="110"/>
              <w:bottom w:type="dxa" w:w="70"/>
              <w:right w:type="dxa" w:w="110"/>
            </w:tcMar>
          </w:tcPr>
          <w:p>
            <w:pPr>
              <w:spacing w:after="0" w:line="250"/>
            </w:pPr>
            <w:r>
              <w:rPr>
                <w:rFonts w:ascii="Calibri" w:cs="Calibri" w:eastAsia="Calibri" w:hAnsi="Calibri"/>
                <w:sz w:val="19"/>
                <w:szCs w:val="19"/>
              </w:rPr>
              <w:t xml:space="preserve">Calculado</w:t>
            </w:r>
          </w:p>
        </w:tc>
      </w:tr>
      <w:tr>
        <w:tc>
          <w:tcPr>
            <w:tcW w:type="dxa" w:w="562"/>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8</w:t>
            </w:r>
          </w:p>
        </w:tc>
        <w:tc>
          <w:tcPr>
            <w:tcW w:type="dxa" w:w="6739"/>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Promedio de ventas</w:t>
            </w:r>
          </w:p>
        </w:tc>
        <w:tc>
          <w:tcPr>
            <w:tcW w:type="dxa" w:w="2059"/>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Calculado</w:t>
            </w:r>
          </w:p>
        </w:tc>
      </w:tr>
      <w:tr>
        <w:tc>
          <w:tcPr>
            <w:tcW w:type="dxa" w:w="562"/>
            <w:tcMar>
              <w:top w:type="dxa" w:w="70"/>
              <w:left w:type="dxa" w:w="110"/>
              <w:bottom w:type="dxa" w:w="70"/>
              <w:right w:type="dxa" w:w="110"/>
            </w:tcMar>
          </w:tcPr>
          <w:p>
            <w:pPr>
              <w:spacing w:after="0" w:line="250"/>
            </w:pPr>
            <w:r>
              <w:rPr>
                <w:rFonts w:ascii="Calibri" w:cs="Calibri" w:eastAsia="Calibri" w:hAnsi="Calibri"/>
                <w:sz w:val="19"/>
                <w:szCs w:val="19"/>
              </w:rPr>
              <w:t xml:space="preserve">9</w:t>
            </w:r>
          </w:p>
        </w:tc>
        <w:tc>
          <w:tcPr>
            <w:tcW w:type="dxa" w:w="6739"/>
            <w:tcMar>
              <w:top w:type="dxa" w:w="70"/>
              <w:left w:type="dxa" w:w="110"/>
              <w:bottom w:type="dxa" w:w="70"/>
              <w:right w:type="dxa" w:w="110"/>
            </w:tcMar>
          </w:tcPr>
          <w:p>
            <w:pPr>
              <w:spacing w:after="0" w:line="250"/>
            </w:pPr>
            <w:r>
              <w:rPr>
                <w:rFonts w:ascii="Calibri" w:cs="Calibri" w:eastAsia="Calibri" w:hAnsi="Calibri"/>
                <w:sz w:val="19"/>
                <w:szCs w:val="19"/>
              </w:rPr>
              <w:t xml:space="preserve">Alcance de la demanda mensual</w:t>
            </w:r>
          </w:p>
        </w:tc>
        <w:tc>
          <w:tcPr>
            <w:tcW w:type="dxa" w:w="2059"/>
            <w:tcMar>
              <w:top w:type="dxa" w:w="70"/>
              <w:left w:type="dxa" w:w="110"/>
              <w:bottom w:type="dxa" w:w="70"/>
              <w:right w:type="dxa" w:w="110"/>
            </w:tcMar>
          </w:tcPr>
          <w:p>
            <w:pPr>
              <w:spacing w:after="0" w:line="250"/>
            </w:pPr>
            <w:r>
              <w:rPr>
                <w:rFonts w:ascii="Calibri" w:cs="Calibri" w:eastAsia="Calibri" w:hAnsi="Calibri"/>
                <w:sz w:val="19"/>
                <w:szCs w:val="19"/>
              </w:rPr>
              <w:t xml:space="preserve">Calculado</w:t>
            </w:r>
          </w:p>
        </w:tc>
      </w:tr>
      <w:tr>
        <w:tc>
          <w:tcPr>
            <w:tcW w:type="dxa" w:w="562"/>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10</w:t>
            </w:r>
          </w:p>
        </w:tc>
        <w:tc>
          <w:tcPr>
            <w:tcW w:type="dxa" w:w="6739"/>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Alcance del presupuesto y cómo va</w:t>
            </w:r>
          </w:p>
        </w:tc>
        <w:tc>
          <w:tcPr>
            <w:tcW w:type="dxa" w:w="2059"/>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SIM + calculado</w:t>
            </w:r>
          </w:p>
        </w:tc>
      </w:tr>
      <w:tr>
        <w:tc>
          <w:tcPr>
            <w:tcW w:type="dxa" w:w="562"/>
            <w:tcMar>
              <w:top w:type="dxa" w:w="70"/>
              <w:left w:type="dxa" w:w="110"/>
              <w:bottom w:type="dxa" w:w="70"/>
              <w:right w:type="dxa" w:w="110"/>
            </w:tcMar>
          </w:tcPr>
          <w:p>
            <w:pPr>
              <w:spacing w:after="0" w:line="250"/>
            </w:pPr>
            <w:r>
              <w:rPr>
                <w:rFonts w:ascii="Calibri" w:cs="Calibri" w:eastAsia="Calibri" w:hAnsi="Calibri"/>
                <w:sz w:val="19"/>
                <w:szCs w:val="19"/>
              </w:rPr>
              <w:t xml:space="preserve">11</w:t>
            </w:r>
          </w:p>
        </w:tc>
        <w:tc>
          <w:tcPr>
            <w:tcW w:type="dxa" w:w="6739"/>
            <w:tcMar>
              <w:top w:type="dxa" w:w="70"/>
              <w:left w:type="dxa" w:w="110"/>
              <w:bottom w:type="dxa" w:w="70"/>
              <w:right w:type="dxa" w:w="110"/>
            </w:tcMar>
          </w:tcPr>
          <w:p>
            <w:pPr>
              <w:spacing w:after="0" w:line="250"/>
            </w:pPr>
            <w:r>
              <w:rPr>
                <w:rFonts w:ascii="Calibri" w:cs="Calibri" w:eastAsia="Calibri" w:hAnsi="Calibri"/>
                <w:sz w:val="19"/>
                <w:szCs w:val="19"/>
              </w:rPr>
              <w:t xml:space="preserve">Rotación</w:t>
            </w:r>
          </w:p>
        </w:tc>
        <w:tc>
          <w:tcPr>
            <w:tcW w:type="dxa" w:w="2059"/>
            <w:tcMar>
              <w:top w:type="dxa" w:w="70"/>
              <w:left w:type="dxa" w:w="110"/>
              <w:bottom w:type="dxa" w:w="70"/>
              <w:right w:type="dxa" w:w="110"/>
            </w:tcMar>
          </w:tcPr>
          <w:p>
            <w:pPr>
              <w:spacing w:after="0" w:line="250"/>
            </w:pPr>
            <w:r>
              <w:rPr>
                <w:rFonts w:ascii="Calibri" w:cs="Calibri" w:eastAsia="Calibri" w:hAnsi="Calibri"/>
                <w:sz w:val="19"/>
                <w:szCs w:val="19"/>
              </w:rPr>
              <w:t xml:space="preserve">SIM</w:t>
            </w:r>
          </w:p>
        </w:tc>
      </w:tr>
      <w:tr>
        <w:tc>
          <w:tcPr>
            <w:tcW w:type="dxa" w:w="562"/>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12</w:t>
            </w:r>
          </w:p>
        </w:tc>
        <w:tc>
          <w:tcPr>
            <w:tcW w:type="dxa" w:w="6739"/>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Contribución</w:t>
            </w:r>
          </w:p>
        </w:tc>
        <w:tc>
          <w:tcPr>
            <w:tcW w:type="dxa" w:w="2059"/>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SIM</w:t>
            </w:r>
          </w:p>
        </w:tc>
      </w:tr>
      <w:tr>
        <w:tc>
          <w:tcPr>
            <w:tcW w:type="dxa" w:w="562"/>
            <w:tcMar>
              <w:top w:type="dxa" w:w="70"/>
              <w:left w:type="dxa" w:w="110"/>
              <w:bottom w:type="dxa" w:w="70"/>
              <w:right w:type="dxa" w:w="110"/>
            </w:tcMar>
          </w:tcPr>
          <w:p>
            <w:pPr>
              <w:spacing w:after="0" w:line="250"/>
            </w:pPr>
            <w:r>
              <w:rPr>
                <w:rFonts w:ascii="Calibri" w:cs="Calibri" w:eastAsia="Calibri" w:hAnsi="Calibri"/>
                <w:sz w:val="19"/>
                <w:szCs w:val="19"/>
              </w:rPr>
              <w:t xml:space="preserve">13</w:t>
            </w:r>
          </w:p>
        </w:tc>
        <w:tc>
          <w:tcPr>
            <w:tcW w:type="dxa" w:w="6739"/>
            <w:tcMar>
              <w:top w:type="dxa" w:w="70"/>
              <w:left w:type="dxa" w:w="110"/>
              <w:bottom w:type="dxa" w:w="70"/>
              <w:right w:type="dxa" w:w="110"/>
            </w:tcMar>
          </w:tcPr>
          <w:p>
            <w:pPr>
              <w:spacing w:after="0" w:line="250"/>
            </w:pPr>
            <w:r>
              <w:rPr>
                <w:rFonts w:ascii="Calibri" w:cs="Calibri" w:eastAsia="Calibri" w:hAnsi="Calibri"/>
                <w:sz w:val="19"/>
                <w:szCs w:val="19"/>
              </w:rPr>
              <w:t xml:space="preserve">Artículos, venta por artículo y su movimiento</w:t>
            </w:r>
          </w:p>
        </w:tc>
        <w:tc>
          <w:tcPr>
            <w:tcW w:type="dxa" w:w="2059"/>
            <w:tcMar>
              <w:top w:type="dxa" w:w="70"/>
              <w:left w:type="dxa" w:w="110"/>
              <w:bottom w:type="dxa" w:w="70"/>
              <w:right w:type="dxa" w:w="110"/>
            </w:tcMar>
          </w:tcPr>
          <w:p>
            <w:pPr>
              <w:spacing w:after="0" w:line="250"/>
            </w:pPr>
            <w:r>
              <w:rPr>
                <w:rFonts w:ascii="Calibri" w:cs="Calibri" w:eastAsia="Calibri" w:hAnsi="Calibri"/>
                <w:sz w:val="19"/>
                <w:szCs w:val="19"/>
              </w:rPr>
              <w:t xml:space="preserve">SIM</w:t>
            </w:r>
          </w:p>
        </w:tc>
      </w:tr>
      <w:tr>
        <w:tc>
          <w:tcPr>
            <w:tcW w:type="dxa" w:w="562"/>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14</w:t>
            </w:r>
          </w:p>
        </w:tc>
        <w:tc>
          <w:tcPr>
            <w:tcW w:type="dxa" w:w="6739"/>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Top de venta por artículo</w:t>
            </w:r>
          </w:p>
        </w:tc>
        <w:tc>
          <w:tcPr>
            <w:tcW w:type="dxa" w:w="2059"/>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Calculado</w:t>
            </w:r>
          </w:p>
        </w:tc>
      </w:tr>
      <w:tr>
        <w:tc>
          <w:tcPr>
            <w:tcW w:type="dxa" w:w="562"/>
            <w:tcMar>
              <w:top w:type="dxa" w:w="70"/>
              <w:left w:type="dxa" w:w="110"/>
              <w:bottom w:type="dxa" w:w="70"/>
              <w:right w:type="dxa" w:w="110"/>
            </w:tcMar>
          </w:tcPr>
          <w:p>
            <w:pPr>
              <w:spacing w:after="0" w:line="250"/>
            </w:pPr>
            <w:r>
              <w:rPr>
                <w:rFonts w:ascii="Calibri" w:cs="Calibri" w:eastAsia="Calibri" w:hAnsi="Calibri"/>
                <w:sz w:val="19"/>
                <w:szCs w:val="19"/>
              </w:rPr>
              <w:t xml:space="preserve">15</w:t>
            </w:r>
          </w:p>
        </w:tc>
        <w:tc>
          <w:tcPr>
            <w:tcW w:type="dxa" w:w="6739"/>
            <w:tcMar>
              <w:top w:type="dxa" w:w="70"/>
              <w:left w:type="dxa" w:w="110"/>
              <w:bottom w:type="dxa" w:w="70"/>
              <w:right w:type="dxa" w:w="110"/>
            </w:tcMar>
          </w:tcPr>
          <w:p>
            <w:pPr>
              <w:spacing w:after="0" w:line="250"/>
            </w:pPr>
            <w:r>
              <w:rPr>
                <w:rFonts w:ascii="Calibri" w:cs="Calibri" w:eastAsia="Calibri" w:hAnsi="Calibri"/>
                <w:sz w:val="19"/>
                <w:szCs w:val="19"/>
              </w:rPr>
              <w:t xml:space="preserve">Vista por estado y región</w:t>
            </w:r>
          </w:p>
        </w:tc>
        <w:tc>
          <w:tcPr>
            <w:tcW w:type="dxa" w:w="2059"/>
            <w:tcMar>
              <w:top w:type="dxa" w:w="70"/>
              <w:left w:type="dxa" w:w="110"/>
              <w:bottom w:type="dxa" w:w="70"/>
              <w:right w:type="dxa" w:w="110"/>
            </w:tcMar>
          </w:tcPr>
          <w:p>
            <w:pPr>
              <w:spacing w:after="0" w:line="250"/>
            </w:pPr>
            <w:r>
              <w:rPr>
                <w:rFonts w:ascii="Calibri" w:cs="Calibri" w:eastAsia="Calibri" w:hAnsi="Calibri"/>
                <w:sz w:val="19"/>
                <w:szCs w:val="19"/>
              </w:rPr>
              <w:t xml:space="preserve">SIM</w:t>
            </w:r>
          </w:p>
        </w:tc>
      </w:tr>
      <w:tr>
        <w:tc>
          <w:tcPr>
            <w:tcW w:type="dxa" w:w="562"/>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16</w:t>
            </w:r>
          </w:p>
        </w:tc>
        <w:tc>
          <w:tcPr>
            <w:tcW w:type="dxa" w:w="6739"/>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Top de clientes que más compran</w:t>
            </w:r>
          </w:p>
        </w:tc>
        <w:tc>
          <w:tcPr>
            <w:tcW w:type="dxa" w:w="2059"/>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SIM</w:t>
            </w:r>
          </w:p>
        </w:tc>
      </w:tr>
      <w:tr>
        <w:tc>
          <w:tcPr>
            <w:tcW w:type="dxa" w:w="562"/>
            <w:tcMar>
              <w:top w:type="dxa" w:w="70"/>
              <w:left w:type="dxa" w:w="110"/>
              <w:bottom w:type="dxa" w:w="70"/>
              <w:right w:type="dxa" w:w="110"/>
            </w:tcMar>
          </w:tcPr>
          <w:p>
            <w:pPr>
              <w:spacing w:after="0" w:line="250"/>
            </w:pPr>
            <w:r>
              <w:rPr>
                <w:rFonts w:ascii="Calibri" w:cs="Calibri" w:eastAsia="Calibri" w:hAnsi="Calibri"/>
                <w:sz w:val="19"/>
                <w:szCs w:val="19"/>
              </w:rPr>
              <w:t xml:space="preserve">17</w:t>
            </w:r>
          </w:p>
        </w:tc>
        <w:tc>
          <w:tcPr>
            <w:tcW w:type="dxa" w:w="6739"/>
            <w:tcMar>
              <w:top w:type="dxa" w:w="70"/>
              <w:left w:type="dxa" w:w="110"/>
              <w:bottom w:type="dxa" w:w="70"/>
              <w:right w:type="dxa" w:w="110"/>
            </w:tcMar>
          </w:tcPr>
          <w:p>
            <w:pPr>
              <w:spacing w:after="0" w:line="250"/>
            </w:pPr>
            <w:r>
              <w:rPr>
                <w:rFonts w:ascii="Calibri" w:cs="Calibri" w:eastAsia="Calibri" w:hAnsi="Calibri"/>
                <w:sz w:val="19"/>
                <w:szCs w:val="19"/>
              </w:rPr>
              <w:t xml:space="preserve">Top de vendedores que más venden</w:t>
            </w:r>
          </w:p>
        </w:tc>
        <w:tc>
          <w:tcPr>
            <w:tcW w:type="dxa" w:w="2059"/>
            <w:tcMar>
              <w:top w:type="dxa" w:w="70"/>
              <w:left w:type="dxa" w:w="110"/>
              <w:bottom w:type="dxa" w:w="70"/>
              <w:right w:type="dxa" w:w="110"/>
            </w:tcMar>
          </w:tcPr>
          <w:p>
            <w:pPr>
              <w:spacing w:after="0" w:line="250"/>
            </w:pPr>
            <w:r>
              <w:rPr>
                <w:rFonts w:ascii="Calibri" w:cs="Calibri" w:eastAsia="Calibri" w:hAnsi="Calibri"/>
                <w:sz w:val="19"/>
                <w:szCs w:val="19"/>
              </w:rPr>
              <w:t xml:space="preserve">SIM</w:t>
            </w:r>
          </w:p>
        </w:tc>
      </w:tr>
      <w:tr>
        <w:tc>
          <w:tcPr>
            <w:tcW w:type="dxa" w:w="562"/>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18</w:t>
            </w:r>
          </w:p>
        </w:tc>
        <w:tc>
          <w:tcPr>
            <w:tcW w:type="dxa" w:w="6739"/>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Clientes activos contra inactivos</w:t>
            </w:r>
          </w:p>
        </w:tc>
        <w:tc>
          <w:tcPr>
            <w:tcW w:type="dxa" w:w="2059"/>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SIM</w:t>
            </w:r>
          </w:p>
        </w:tc>
      </w:tr>
      <w:tr>
        <w:tc>
          <w:tcPr>
            <w:tcW w:type="dxa" w:w="562"/>
            <w:tcMar>
              <w:top w:type="dxa" w:w="70"/>
              <w:left w:type="dxa" w:w="110"/>
              <w:bottom w:type="dxa" w:w="70"/>
              <w:right w:type="dxa" w:w="110"/>
            </w:tcMar>
          </w:tcPr>
          <w:p>
            <w:pPr>
              <w:spacing w:after="0" w:line="250"/>
            </w:pPr>
            <w:r>
              <w:rPr>
                <w:rFonts w:ascii="Calibri" w:cs="Calibri" w:eastAsia="Calibri" w:hAnsi="Calibri"/>
                <w:sz w:val="19"/>
                <w:szCs w:val="19"/>
              </w:rPr>
              <w:t xml:space="preserve">19</w:t>
            </w:r>
          </w:p>
        </w:tc>
        <w:tc>
          <w:tcPr>
            <w:tcW w:type="dxa" w:w="6739"/>
            <w:tcMar>
              <w:top w:type="dxa" w:w="70"/>
              <w:left w:type="dxa" w:w="110"/>
              <w:bottom w:type="dxa" w:w="70"/>
              <w:right w:type="dxa" w:w="110"/>
            </w:tcMar>
          </w:tcPr>
          <w:p>
            <w:pPr>
              <w:spacing w:after="0" w:line="250"/>
            </w:pPr>
            <w:r>
              <w:rPr>
                <w:rFonts w:ascii="Calibri" w:cs="Calibri" w:eastAsia="Calibri" w:hAnsi="Calibri"/>
                <w:sz w:val="19"/>
                <w:szCs w:val="19"/>
              </w:rPr>
              <w:t xml:space="preserve">SKU de inventario y SKU activados</w:t>
            </w:r>
          </w:p>
        </w:tc>
        <w:tc>
          <w:tcPr>
            <w:tcW w:type="dxa" w:w="2059"/>
            <w:tcMar>
              <w:top w:type="dxa" w:w="70"/>
              <w:left w:type="dxa" w:w="110"/>
              <w:bottom w:type="dxa" w:w="70"/>
              <w:right w:type="dxa" w:w="110"/>
            </w:tcMar>
          </w:tcPr>
          <w:p>
            <w:pPr>
              <w:spacing w:after="0" w:line="250"/>
            </w:pPr>
            <w:r>
              <w:rPr>
                <w:rFonts w:ascii="Calibri" w:cs="Calibri" w:eastAsia="Calibri" w:hAnsi="Calibri"/>
                <w:sz w:val="19"/>
                <w:szCs w:val="19"/>
              </w:rPr>
              <w:t xml:space="preserve">SIM (parcial)</w:t>
            </w:r>
          </w:p>
        </w:tc>
      </w:tr>
      <w:tr>
        <w:tc>
          <w:tcPr>
            <w:tcW w:type="dxa" w:w="562"/>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20</w:t>
            </w:r>
          </w:p>
        </w:tc>
        <w:tc>
          <w:tcPr>
            <w:tcW w:type="dxa" w:w="6739"/>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GMROI</w:t>
            </w:r>
          </w:p>
        </w:tc>
        <w:tc>
          <w:tcPr>
            <w:tcW w:type="dxa" w:w="2059"/>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Calculado</w:t>
            </w:r>
          </w:p>
        </w:tc>
      </w:tr>
      <w:tr>
        <w:tc>
          <w:tcPr>
            <w:tcW w:type="dxa" w:w="562"/>
            <w:tcMar>
              <w:top w:type="dxa" w:w="70"/>
              <w:left w:type="dxa" w:w="110"/>
              <w:bottom w:type="dxa" w:w="70"/>
              <w:right w:type="dxa" w:w="110"/>
            </w:tcMar>
          </w:tcPr>
          <w:p>
            <w:pPr>
              <w:spacing w:after="0" w:line="250"/>
            </w:pPr>
            <w:r>
              <w:rPr>
                <w:rFonts w:ascii="Calibri" w:cs="Calibri" w:eastAsia="Calibri" w:hAnsi="Calibri"/>
                <w:sz w:val="19"/>
                <w:szCs w:val="19"/>
              </w:rPr>
              <w:t xml:space="preserve">21</w:t>
            </w:r>
          </w:p>
        </w:tc>
        <w:tc>
          <w:tcPr>
            <w:tcW w:type="dxa" w:w="6739"/>
            <w:tcMar>
              <w:top w:type="dxa" w:w="70"/>
              <w:left w:type="dxa" w:w="110"/>
              <w:bottom w:type="dxa" w:w="70"/>
              <w:right w:type="dxa" w:w="110"/>
            </w:tcMar>
          </w:tcPr>
          <w:p>
            <w:pPr>
              <w:spacing w:after="0" w:line="250"/>
            </w:pPr>
            <w:r>
              <w:rPr>
                <w:rFonts w:ascii="Calibri" w:cs="Calibri" w:eastAsia="Calibri" w:hAnsi="Calibri"/>
                <w:sz w:val="19"/>
                <w:szCs w:val="19"/>
              </w:rPr>
              <w:t xml:space="preserve">Tiempo estimado de llegada de la mercancía</w:t>
            </w:r>
          </w:p>
        </w:tc>
        <w:tc>
          <w:tcPr>
            <w:tcW w:type="dxa" w:w="2059"/>
            <w:tcMar>
              <w:top w:type="dxa" w:w="70"/>
              <w:left w:type="dxa" w:w="110"/>
              <w:bottom w:type="dxa" w:w="70"/>
              <w:right w:type="dxa" w:w="110"/>
            </w:tcMar>
          </w:tcPr>
          <w:p>
            <w:pPr>
              <w:spacing w:after="0" w:line="250"/>
            </w:pPr>
            <w:r>
              <w:rPr>
                <w:rFonts w:ascii="Calibri" w:cs="Calibri" w:eastAsia="Calibri" w:hAnsi="Calibri"/>
                <w:sz w:val="19"/>
                <w:szCs w:val="19"/>
              </w:rPr>
              <w:t xml:space="preserve">SIM</w:t>
            </w:r>
          </w:p>
        </w:tc>
      </w:tr>
      <w:tr>
        <w:tc>
          <w:tcPr>
            <w:tcW w:type="dxa" w:w="562"/>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22</w:t>
            </w:r>
          </w:p>
        </w:tc>
        <w:tc>
          <w:tcPr>
            <w:tcW w:type="dxa" w:w="6739"/>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Botón para incluir o excluir al cliente EPA</w:t>
            </w:r>
          </w:p>
        </w:tc>
        <w:tc>
          <w:tcPr>
            <w:tcW w:type="dxa" w:w="2059"/>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Calculado</w:t>
            </w:r>
          </w:p>
        </w:tc>
      </w:tr>
      <w:tr>
        <w:tc>
          <w:tcPr>
            <w:tcW w:type="dxa" w:w="562"/>
            <w:tcMar>
              <w:top w:type="dxa" w:w="70"/>
              <w:left w:type="dxa" w:w="110"/>
              <w:bottom w:type="dxa" w:w="70"/>
              <w:right w:type="dxa" w:w="110"/>
            </w:tcMar>
          </w:tcPr>
          <w:p>
            <w:pPr>
              <w:spacing w:after="0" w:line="250"/>
            </w:pPr>
            <w:r>
              <w:rPr>
                <w:rFonts w:ascii="Calibri" w:cs="Calibri" w:eastAsia="Calibri" w:hAnsi="Calibri"/>
                <w:sz w:val="19"/>
                <w:szCs w:val="19"/>
              </w:rPr>
              <w:t xml:space="preserve">23</w:t>
            </w:r>
          </w:p>
        </w:tc>
        <w:tc>
          <w:tcPr>
            <w:tcW w:type="dxa" w:w="6739"/>
            <w:tcMar>
              <w:top w:type="dxa" w:w="70"/>
              <w:left w:type="dxa" w:w="110"/>
              <w:bottom w:type="dxa" w:w="70"/>
              <w:right w:type="dxa" w:w="110"/>
            </w:tcMar>
          </w:tcPr>
          <w:p>
            <w:pPr>
              <w:spacing w:after="0" w:line="250"/>
            </w:pPr>
            <w:r>
              <w:rPr>
                <w:rFonts w:ascii="Calibri" w:cs="Calibri" w:eastAsia="Calibri" w:hAnsi="Calibri"/>
                <w:sz w:val="19"/>
                <w:szCs w:val="19"/>
              </w:rPr>
              <w:t xml:space="preserve">Pedidos sugeridos en función de las ventas</w:t>
            </w:r>
          </w:p>
        </w:tc>
        <w:tc>
          <w:tcPr>
            <w:tcW w:type="dxa" w:w="2059"/>
            <w:tcMar>
              <w:top w:type="dxa" w:w="70"/>
              <w:left w:type="dxa" w:w="110"/>
              <w:bottom w:type="dxa" w:w="70"/>
              <w:right w:type="dxa" w:w="110"/>
            </w:tcMar>
          </w:tcPr>
          <w:p>
            <w:pPr>
              <w:spacing w:after="0" w:line="250"/>
            </w:pPr>
            <w:r>
              <w:rPr>
                <w:rFonts w:ascii="Calibri" w:cs="Calibri" w:eastAsia="Calibri" w:hAnsi="Calibri"/>
                <w:sz w:val="19"/>
                <w:szCs w:val="19"/>
              </w:rPr>
              <w:t xml:space="preserve">Calculado</w:t>
            </w:r>
          </w:p>
        </w:tc>
      </w:tr>
    </w:tbl>
    <w:p>
      <w:pPr>
        <w:spacing w:after="0"/>
      </w:pPr>
      <w:r>
        <w:rPr>
          <w:sz w:val="14"/>
          <w:szCs w:val="14"/>
        </w:rPr>
        <w:t xml:space="preserve"/>
      </w:r>
    </w:p>
    <w:tbl>
      <w:tblPr>
        <w:tblW w:type="dxa" w:w="9360"/>
        <w:tblBorders>
          <w:top w:val="single" w:color="D6DCE1" w:sz="2"/>
          <w:left w:val="single" w:color="1F4E79" w:sz="18"/>
          <w:bottom w:val="single" w:color="D6DCE1" w:sz="2"/>
          <w:right w:val="single" w:color="D6DCE1" w:sz="2"/>
          <w:insideH w:val="single" w:color="D6DCE1" w:sz="2"/>
          <w:insideV w:val="single" w:color="D6DCE1" w:sz="2"/>
        </w:tblBorders>
      </w:tblPr>
      <w:tblGrid>
        <w:gridCol w:w="9360"/>
      </w:tblGrid>
      <w:tr>
        <w:tc>
          <w:tcPr>
            <w:tcW w:type="dxa" w:w="9360"/>
            <w:shd w:fill="F2F5F7" w:color="auto" w:val="clear"/>
            <w:tcMar>
              <w:top w:type="dxa" w:w="130"/>
              <w:left w:type="dxa" w:w="170"/>
              <w:bottom w:type="dxa" w:w="130"/>
              <w:right w:type="dxa" w:w="170"/>
            </w:tcMar>
          </w:tcPr>
          <w:p>
            <w:pPr>
              <w:spacing w:after="60"/>
            </w:pPr>
            <w:r>
              <w:rPr>
                <w:rFonts w:ascii="Calibri" w:cs="Calibri" w:eastAsia="Calibri" w:hAnsi="Calibri"/>
                <w:b/>
                <w:bCs/>
                <w:color w:val="1F4E79"/>
                <w:sz w:val="20"/>
                <w:szCs w:val="20"/>
              </w:rPr>
              <w:t xml:space="preserve">Sobre el punto 22</w:t>
            </w:r>
          </w:p>
          <w:p>
            <w:pPr>
              <w:spacing w:after="0" w:line="260"/>
            </w:pPr>
            <w:r>
              <w:rPr>
                <w:rFonts w:ascii="Calibri" w:cs="Calibri" w:eastAsia="Calibri" w:hAnsi="Calibri"/>
                <w:sz w:val="20"/>
                <w:szCs w:val="20"/>
              </w:rPr>
              <w:t xml:space="preserve">Ferretería EPA es un cliente que compra muchísimo y distorsiona todos los rankings. Los compradores pidieron poder quitarlo y ponerlo con un botón. Resultó ser más importante de lo que parecía: ver la sección 7.</w:t>
            </w:r>
          </w:p>
        </w:tc>
      </w:tr>
    </w:tbl>
    <w:p>
      <w:r>
        <w:br w:type="page"/>
      </w:r>
    </w:p>
    <w:p>
      <w:pPr>
        <w:pStyle w:val="Heading1"/>
        <w:spacing w:after="160" w:before="360"/>
      </w:pPr>
      <w:r>
        <w:rPr>
          <w:rFonts w:ascii="Calibri" w:cs="Calibri" w:eastAsia="Calibri" w:hAnsi="Calibri"/>
          <w:b/>
          <w:bCs/>
          <w:color w:val="1F4E79"/>
          <w:sz w:val="30"/>
          <w:szCs w:val="30"/>
        </w:rPr>
        <w:t xml:space="preserve">3. De dónde salen los datos: las descargas del SIM</w:t>
      </w:r>
    </w:p>
    <w:p>
      <w:pPr>
        <w:pStyle w:val="Heading2"/>
        <w:spacing w:after="120" w:before="260"/>
      </w:pPr>
      <w:r>
        <w:rPr>
          <w:rFonts w:ascii="Calibri" w:cs="Calibri" w:eastAsia="Calibri" w:hAnsi="Calibri"/>
          <w:b/>
          <w:bCs/>
          <w:color w:val="1F4E79"/>
          <w:sz w:val="24"/>
          <w:szCs w:val="24"/>
        </w:rPr>
        <w:t xml:space="preserve">La regla que hay que entender antes que nada</w:t>
      </w:r>
    </w:p>
    <w:p>
      <w:pPr>
        <w:spacing w:after="120" w:line="276"/>
      </w:pPr>
      <w:r>
        <w:rPr>
          <w:rFonts w:ascii="Calibri" w:cs="Calibri" w:eastAsia="Calibri" w:hAnsi="Calibri"/>
          <w:sz w:val="21"/>
          <w:szCs w:val="21"/>
        </w:rPr>
        <w:t xml:space="preserve">El SIM arma el producto cartesiano de todas las dimensiones que le pidas, existan o no esas combinaciones. Si pides «Estado más Vendedor», genera 64 estados por 739 vendedores = 47.296 filas, de las cuales unas 1.500 tienen datos. El resto son filas vacías que consumen el cupo de exportación.</w:t>
      </w:r>
    </w:p>
    <w:p>
      <w:pPr>
        <w:spacing w:after="120" w:line="276"/>
      </w:pPr>
      <w:r>
        <w:rPr>
          <w:rFonts w:ascii="Calibri" w:cs="Calibri" w:eastAsia="Calibri" w:hAnsi="Calibri"/>
          <w:sz w:val="21"/>
          <w:szCs w:val="21"/>
        </w:rPr>
        <w:t xml:space="preserve">Cuando se pasa del cupo, el archivo sale incompleto con el aviso «Exported data exceeded the allowed volume». En las primeras pruebas, el archivo de clientes solo traía el 2,7% de la venta de la marca por este motivo.</w:t>
      </w:r>
    </w:p>
    <w:p>
      <w:pPr>
        <w:spacing w:after="0"/>
      </w:pPr>
      <w:r>
        <w:rPr>
          <w:sz w:val="14"/>
          <w:szCs w:val="14"/>
        </w:rPr>
        <w:t xml:space="preserve"/>
      </w:r>
    </w:p>
    <w:tbl>
      <w:tblPr>
        <w:tblW w:type="dxa" w:w="9360"/>
        <w:tblBorders>
          <w:top w:val="single" w:color="D6DCE1" w:sz="2"/>
          <w:left w:val="single" w:color="1F4E79" w:sz="18"/>
          <w:bottom w:val="single" w:color="D6DCE1" w:sz="2"/>
          <w:right w:val="single" w:color="D6DCE1" w:sz="2"/>
          <w:insideH w:val="single" w:color="D6DCE1" w:sz="2"/>
          <w:insideV w:val="single" w:color="D6DCE1" w:sz="2"/>
        </w:tblBorders>
      </w:tblPr>
      <w:tblGrid>
        <w:gridCol w:w="9360"/>
      </w:tblGrid>
      <w:tr>
        <w:tc>
          <w:tcPr>
            <w:tcW w:type="dxa" w:w="9360"/>
            <w:shd w:fill="F2F5F7" w:color="auto" w:val="clear"/>
            <w:tcMar>
              <w:top w:type="dxa" w:w="130"/>
              <w:left w:type="dxa" w:w="170"/>
              <w:bottom w:type="dxa" w:w="130"/>
              <w:right w:type="dxa" w:w="170"/>
            </w:tcMar>
          </w:tcPr>
          <w:p>
            <w:pPr>
              <w:spacing w:after="60"/>
            </w:pPr>
            <w:r>
              <w:rPr>
                <w:rFonts w:ascii="Calibri" w:cs="Calibri" w:eastAsia="Calibri" w:hAnsi="Calibri"/>
                <w:b/>
                <w:bCs/>
                <w:color w:val="1F4E79"/>
                <w:sz w:val="20"/>
                <w:szCs w:val="20"/>
              </w:rPr>
              <w:t xml:space="preserve">Regla práctica</w:t>
            </w:r>
          </w:p>
          <w:p>
            <w:pPr>
              <w:spacing w:after="0" w:line="260"/>
            </w:pPr>
            <w:r>
              <w:rPr>
                <w:rFonts w:ascii="Calibri" w:cs="Calibri" w:eastAsia="Calibri" w:hAnsi="Calibri"/>
                <w:sz w:val="20"/>
                <w:szCs w:val="20"/>
              </w:rPr>
              <w:t xml:space="preserve">Las dimensiones grandes van solas. Vendedor (739) y Cliente (33.000) son grandes. Estado (64), Región (19), Supervisor (50) y Categoría (5) son chicas y pueden ir juntas en la misma descarga.</w:t>
            </w:r>
          </w:p>
        </w:tc>
      </w:tr>
    </w:tbl>
    <w:p>
      <w:pPr>
        <w:spacing w:after="0"/>
      </w:pPr>
      <w:r>
        <w:rPr>
          <w:sz w:val="14"/>
          <w:szCs w:val="14"/>
        </w:rPr>
        <w:t xml:space="preserve"/>
      </w:r>
    </w:p>
    <w:p>
      <w:pPr>
        <w:spacing w:after="120" w:line="276"/>
      </w:pPr>
      <w:r>
        <w:rPr>
          <w:rFonts w:ascii="Calibri" w:cs="Calibri" w:eastAsia="Calibri" w:hAnsi="Calibri"/>
          <w:sz w:val="21"/>
          <w:szCs w:val="21"/>
        </w:rPr>
        <w:t xml:space="preserve">El cupo parece estar alrededor de uno a dos millones de celdas (filas por columnas). Como cada mes genera una columna por indicador, hay que controlar los dos extremos del rango de fechas: si dejas la fecha final abierta, el SIM trae meses de presupuesto futuro hasta 2028 y revienta el archivo.</w:t>
      </w:r>
    </w:p>
    <w:p>
      <w:pPr>
        <w:pStyle w:val="Heading2"/>
        <w:spacing w:after="120" w:before="260"/>
      </w:pPr>
      <w:r>
        <w:rPr>
          <w:rFonts w:ascii="Calibri" w:cs="Calibri" w:eastAsia="Calibri" w:hAnsi="Calibri"/>
          <w:b/>
          <w:bCs/>
          <w:color w:val="1F4E79"/>
          <w:sz w:val="24"/>
          <w:szCs w:val="24"/>
        </w:rPr>
        <w:t xml:space="preserve">Las descargas definitivas</w:t>
      </w:r>
    </w:p>
    <w:p>
      <w:pPr>
        <w:spacing w:after="0"/>
      </w:pPr>
      <w:r>
        <w:rPr>
          <w:sz w:val="14"/>
          <w:szCs w:val="14"/>
        </w:rPr>
        <w:t xml:space="preserve"/>
      </w:r>
    </w:p>
    <w:tbl>
      <w:tblPr>
        <w:tblW w:type="dxa" w:w="9360"/>
        <w:tblBorders>
          <w:top w:val="single" w:color="D6DCE1" w:sz="2"/>
          <w:left w:val="single" w:color="D6DCE1" w:sz="2"/>
          <w:bottom w:val="single" w:color="D6DCE1" w:sz="2"/>
          <w:right w:val="single" w:color="D6DCE1" w:sz="2"/>
          <w:insideH w:val="single" w:color="D6DCE1" w:sz="2"/>
          <w:insideV w:val="single" w:color="D6DCE1" w:sz="2"/>
        </w:tblBorders>
      </w:tblPr>
      <w:tblGrid>
        <w:gridCol w:w="468"/>
        <w:gridCol w:w="3089"/>
        <w:gridCol w:w="1685"/>
        <w:gridCol w:w="936"/>
        <w:gridCol w:w="3182"/>
      </w:tblGrid>
      <w:tr>
        <w:trPr>
          <w:tblHeader/>
        </w:trPr>
        <w:tc>
          <w:tcPr>
            <w:tcW w:type="dxa" w:w="468"/>
            <w:shd w:fill="1F4E79"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t>
            </w:r>
          </w:p>
        </w:tc>
        <w:tc>
          <w:tcPr>
            <w:tcW w:type="dxa" w:w="3089"/>
            <w:shd w:fill="1F4E79"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Parameter</w:t>
            </w:r>
          </w:p>
        </w:tc>
        <w:tc>
          <w:tcPr>
            <w:tcW w:type="dxa" w:w="1685"/>
            <w:shd w:fill="1F4E79"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Máscara</w:t>
            </w:r>
          </w:p>
        </w:tc>
        <w:tc>
          <w:tcPr>
            <w:tcW w:type="dxa" w:w="936"/>
            <w:shd w:fill="1F4E79"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Meses</w:t>
            </w:r>
          </w:p>
        </w:tc>
        <w:tc>
          <w:tcPr>
            <w:tcW w:type="dxa" w:w="3182"/>
            <w:shd w:fill="1F4E79"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Para qué</w:t>
            </w:r>
          </w:p>
        </w:tc>
      </w:tr>
      <w:tr>
        <w:tc>
          <w:tcPr>
            <w:tcW w:type="dxa" w:w="468"/>
            <w:tcMar>
              <w:top w:type="dxa" w:w="70"/>
              <w:left w:type="dxa" w:w="110"/>
              <w:bottom w:type="dxa" w:w="70"/>
              <w:right w:type="dxa" w:w="110"/>
            </w:tcMar>
          </w:tcPr>
          <w:p>
            <w:pPr>
              <w:spacing w:after="0" w:line="250"/>
            </w:pPr>
            <w:r>
              <w:rPr>
                <w:rFonts w:ascii="Calibri" w:cs="Calibri" w:eastAsia="Calibri" w:hAnsi="Calibri"/>
                <w:sz w:val="19"/>
                <w:szCs w:val="19"/>
              </w:rPr>
              <w:t xml:space="preserve">1</w:t>
            </w:r>
          </w:p>
        </w:tc>
        <w:tc>
          <w:tcPr>
            <w:tcW w:type="dxa" w:w="3089"/>
            <w:tcMar>
              <w:top w:type="dxa" w:w="70"/>
              <w:left w:type="dxa" w:w="110"/>
              <w:bottom w:type="dxa" w:w="70"/>
              <w:right w:type="dxa" w:w="110"/>
            </w:tcMar>
          </w:tcPr>
          <w:p>
            <w:pPr>
              <w:spacing w:after="0" w:line="250"/>
            </w:pPr>
            <w:r>
              <w:rPr>
                <w:rFonts w:ascii="Calibri" w:cs="Calibri" w:eastAsia="Calibri" w:hAnsi="Calibri"/>
                <w:sz w:val="19"/>
                <w:szCs w:val="19"/>
              </w:rPr>
              <w:t xml:space="preserve">Marca, Categoría, Artículo</w:t>
            </w:r>
          </w:p>
        </w:tc>
        <w:tc>
          <w:tcPr>
            <w:tcW w:type="dxa" w:w="1685"/>
            <w:tcMar>
              <w:top w:type="dxa" w:w="70"/>
              <w:left w:type="dxa" w:w="110"/>
              <w:bottom w:type="dxa" w:w="70"/>
              <w:right w:type="dxa" w:w="110"/>
            </w:tcMar>
          </w:tcPr>
          <w:p>
            <w:pPr>
              <w:spacing w:after="0" w:line="250"/>
            </w:pPr>
            <w:r>
              <w:rPr>
                <w:rFonts w:ascii="Calibri" w:cs="Calibri" w:eastAsia="Calibri" w:hAnsi="Calibri"/>
                <w:sz w:val="19"/>
                <w:szCs w:val="19"/>
              </w:rPr>
              <w:t xml:space="preserve">Miles de dólares</w:t>
            </w:r>
          </w:p>
        </w:tc>
        <w:tc>
          <w:tcPr>
            <w:tcW w:type="dxa" w:w="936"/>
            <w:tcMar>
              <w:top w:type="dxa" w:w="70"/>
              <w:left w:type="dxa" w:w="110"/>
              <w:bottom w:type="dxa" w:w="70"/>
              <w:right w:type="dxa" w:w="110"/>
            </w:tcMar>
          </w:tcPr>
          <w:p>
            <w:pPr>
              <w:spacing w:after="0" w:line="250"/>
            </w:pPr>
            <w:r>
              <w:rPr>
                <w:rFonts w:ascii="Calibri" w:cs="Calibri" w:eastAsia="Calibri" w:hAnsi="Calibri"/>
                <w:sz w:val="19"/>
                <w:szCs w:val="19"/>
              </w:rPr>
              <w:t xml:space="preserve">48</w:t>
            </w:r>
          </w:p>
        </w:tc>
        <w:tc>
          <w:tcPr>
            <w:tcW w:type="dxa" w:w="3182"/>
            <w:tcMar>
              <w:top w:type="dxa" w:w="70"/>
              <w:left w:type="dxa" w:w="110"/>
              <w:bottom w:type="dxa" w:w="70"/>
              <w:right w:type="dxa" w:w="110"/>
            </w:tcMar>
          </w:tcPr>
          <w:p>
            <w:pPr>
              <w:spacing w:after="0" w:line="250"/>
            </w:pPr>
            <w:r>
              <w:rPr>
                <w:rFonts w:ascii="Calibri" w:cs="Calibri" w:eastAsia="Calibri" w:hAnsi="Calibri"/>
                <w:sz w:val="19"/>
                <w:szCs w:val="19"/>
              </w:rPr>
              <w:t xml:space="preserve">Base de todo</w:t>
            </w:r>
          </w:p>
        </w:tc>
      </w:tr>
      <w:tr>
        <w:tc>
          <w:tcPr>
            <w:tcW w:type="dxa" w:w="468"/>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2</w:t>
            </w:r>
          </w:p>
        </w:tc>
        <w:tc>
          <w:tcPr>
            <w:tcW w:type="dxa" w:w="3089"/>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Marca, Artículo</w:t>
            </w:r>
          </w:p>
        </w:tc>
        <w:tc>
          <w:tcPr>
            <w:tcW w:type="dxa" w:w="1685"/>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Unidad</w:t>
            </w:r>
          </w:p>
        </w:tc>
        <w:tc>
          <w:tcPr>
            <w:tcW w:type="dxa" w:w="936"/>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48</w:t>
            </w:r>
          </w:p>
        </w:tc>
        <w:tc>
          <w:tcPr>
            <w:tcW w:type="dxa" w:w="3182"/>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Pedido sugerido</w:t>
            </w:r>
          </w:p>
        </w:tc>
      </w:tr>
      <w:tr>
        <w:tc>
          <w:tcPr>
            <w:tcW w:type="dxa" w:w="468"/>
            <w:tcMar>
              <w:top w:type="dxa" w:w="70"/>
              <w:left w:type="dxa" w:w="110"/>
              <w:bottom w:type="dxa" w:w="70"/>
              <w:right w:type="dxa" w:w="110"/>
            </w:tcMar>
          </w:tcPr>
          <w:p>
            <w:pPr>
              <w:spacing w:after="0" w:line="250"/>
            </w:pPr>
            <w:r>
              <w:rPr>
                <w:rFonts w:ascii="Calibri" w:cs="Calibri" w:eastAsia="Calibri" w:hAnsi="Calibri"/>
                <w:sz w:val="19"/>
                <w:szCs w:val="19"/>
              </w:rPr>
              <w:t xml:space="preserve">3</w:t>
            </w:r>
          </w:p>
        </w:tc>
        <w:tc>
          <w:tcPr>
            <w:tcW w:type="dxa" w:w="3089"/>
            <w:tcMar>
              <w:top w:type="dxa" w:w="70"/>
              <w:left w:type="dxa" w:w="110"/>
              <w:bottom w:type="dxa" w:w="70"/>
              <w:right w:type="dxa" w:w="110"/>
            </w:tcMar>
          </w:tcPr>
          <w:p>
            <w:pPr>
              <w:spacing w:after="0" w:line="250"/>
            </w:pPr>
            <w:r>
              <w:rPr>
                <w:rFonts w:ascii="Calibri" w:cs="Calibri" w:eastAsia="Calibri" w:hAnsi="Calibri"/>
                <w:sz w:val="19"/>
                <w:szCs w:val="19"/>
              </w:rPr>
              <w:t xml:space="preserve">Marca, Artículo</w:t>
            </w:r>
          </w:p>
        </w:tc>
        <w:tc>
          <w:tcPr>
            <w:tcW w:type="dxa" w:w="1685"/>
            <w:tcMar>
              <w:top w:type="dxa" w:w="70"/>
              <w:left w:type="dxa" w:w="110"/>
              <w:bottom w:type="dxa" w:w="70"/>
              <w:right w:type="dxa" w:w="110"/>
            </w:tcMar>
          </w:tcPr>
          <w:p>
            <w:pPr>
              <w:spacing w:after="0" w:line="250"/>
            </w:pPr>
            <w:r>
              <w:rPr>
                <w:rFonts w:ascii="Calibri" w:cs="Calibri" w:eastAsia="Calibri" w:hAnsi="Calibri"/>
                <w:sz w:val="19"/>
                <w:szCs w:val="19"/>
              </w:rPr>
              <w:t xml:space="preserve">Toneladas</w:t>
            </w:r>
          </w:p>
        </w:tc>
        <w:tc>
          <w:tcPr>
            <w:tcW w:type="dxa" w:w="936"/>
            <w:tcMar>
              <w:top w:type="dxa" w:w="70"/>
              <w:left w:type="dxa" w:w="110"/>
              <w:bottom w:type="dxa" w:w="70"/>
              <w:right w:type="dxa" w:w="110"/>
            </w:tcMar>
          </w:tcPr>
          <w:p>
            <w:pPr>
              <w:spacing w:after="0" w:line="250"/>
            </w:pPr>
            <w:r>
              <w:rPr>
                <w:rFonts w:ascii="Calibri" w:cs="Calibri" w:eastAsia="Calibri" w:hAnsi="Calibri"/>
                <w:sz w:val="19"/>
                <w:szCs w:val="19"/>
              </w:rPr>
              <w:t xml:space="preserve">1 basta</w:t>
            </w:r>
          </w:p>
        </w:tc>
        <w:tc>
          <w:tcPr>
            <w:tcW w:type="dxa" w:w="3182"/>
            <w:tcMar>
              <w:top w:type="dxa" w:w="70"/>
              <w:left w:type="dxa" w:w="110"/>
              <w:bottom w:type="dxa" w:w="70"/>
              <w:right w:type="dxa" w:w="110"/>
            </w:tcMar>
          </w:tcPr>
          <w:p>
            <w:pPr>
              <w:spacing w:after="0" w:line="250"/>
            </w:pPr>
            <w:r>
              <w:rPr>
                <w:rFonts w:ascii="Calibri" w:cs="Calibri" w:eastAsia="Calibri" w:hAnsi="Calibri"/>
                <w:sz w:val="19"/>
                <w:szCs w:val="19"/>
              </w:rPr>
              <w:t xml:space="preserve">Factor kg por unidad</w:t>
            </w:r>
          </w:p>
        </w:tc>
      </w:tr>
      <w:tr>
        <w:tc>
          <w:tcPr>
            <w:tcW w:type="dxa" w:w="468"/>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4</w:t>
            </w:r>
          </w:p>
        </w:tc>
        <w:tc>
          <w:tcPr>
            <w:tcW w:type="dxa" w:w="3089"/>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Marca, Artículo (ind. OC por recibir)</w:t>
            </w:r>
          </w:p>
        </w:tc>
        <w:tc>
          <w:tcPr>
            <w:tcW w:type="dxa" w:w="1685"/>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Miles de dólares</w:t>
            </w:r>
          </w:p>
        </w:tc>
        <w:tc>
          <w:tcPr>
            <w:tcW w:type="dxa" w:w="936"/>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a futuro</w:t>
            </w:r>
          </w:p>
        </w:tc>
        <w:tc>
          <w:tcPr>
            <w:tcW w:type="dxa" w:w="3182"/>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Tránsito y llegadas</w:t>
            </w:r>
          </w:p>
        </w:tc>
      </w:tr>
      <w:tr>
        <w:tc>
          <w:tcPr>
            <w:tcW w:type="dxa" w:w="468"/>
            <w:tcMar>
              <w:top w:type="dxa" w:w="70"/>
              <w:left w:type="dxa" w:w="110"/>
              <w:bottom w:type="dxa" w:w="70"/>
              <w:right w:type="dxa" w:w="110"/>
            </w:tcMar>
          </w:tcPr>
          <w:p>
            <w:pPr>
              <w:spacing w:after="0" w:line="250"/>
            </w:pPr>
            <w:r>
              <w:rPr>
                <w:rFonts w:ascii="Calibri" w:cs="Calibri" w:eastAsia="Calibri" w:hAnsi="Calibri"/>
                <w:sz w:val="19"/>
                <w:szCs w:val="19"/>
              </w:rPr>
              <w:t xml:space="preserve">5</w:t>
            </w:r>
          </w:p>
        </w:tc>
        <w:tc>
          <w:tcPr>
            <w:tcW w:type="dxa" w:w="3089"/>
            <w:tcMar>
              <w:top w:type="dxa" w:w="70"/>
              <w:left w:type="dxa" w:w="110"/>
              <w:bottom w:type="dxa" w:w="70"/>
              <w:right w:type="dxa" w:w="110"/>
            </w:tcMar>
          </w:tcPr>
          <w:p>
            <w:pPr>
              <w:spacing w:after="0" w:line="250"/>
            </w:pPr>
            <w:r>
              <w:rPr>
                <w:rFonts w:ascii="Calibri" w:cs="Calibri" w:eastAsia="Calibri" w:hAnsi="Calibri"/>
                <w:sz w:val="19"/>
                <w:szCs w:val="19"/>
              </w:rPr>
              <w:t xml:space="preserve">Marca, Estado, Supervisor, Región</w:t>
            </w:r>
          </w:p>
        </w:tc>
        <w:tc>
          <w:tcPr>
            <w:tcW w:type="dxa" w:w="1685"/>
            <w:tcMar>
              <w:top w:type="dxa" w:w="70"/>
              <w:left w:type="dxa" w:w="110"/>
              <w:bottom w:type="dxa" w:w="70"/>
              <w:right w:type="dxa" w:w="110"/>
            </w:tcMar>
          </w:tcPr>
          <w:p>
            <w:pPr>
              <w:spacing w:after="0" w:line="250"/>
            </w:pPr>
            <w:r>
              <w:rPr>
                <w:rFonts w:ascii="Calibri" w:cs="Calibri" w:eastAsia="Calibri" w:hAnsi="Calibri"/>
                <w:sz w:val="19"/>
                <w:szCs w:val="19"/>
              </w:rPr>
              <w:t xml:space="preserve">Miles de dólares</w:t>
            </w:r>
          </w:p>
        </w:tc>
        <w:tc>
          <w:tcPr>
            <w:tcW w:type="dxa" w:w="936"/>
            <w:tcMar>
              <w:top w:type="dxa" w:w="70"/>
              <w:left w:type="dxa" w:w="110"/>
              <w:bottom w:type="dxa" w:w="70"/>
              <w:right w:type="dxa" w:w="110"/>
            </w:tcMar>
          </w:tcPr>
          <w:p>
            <w:pPr>
              <w:spacing w:after="0" w:line="250"/>
            </w:pPr>
            <w:r>
              <w:rPr>
                <w:rFonts w:ascii="Calibri" w:cs="Calibri" w:eastAsia="Calibri" w:hAnsi="Calibri"/>
                <w:sz w:val="19"/>
                <w:szCs w:val="19"/>
              </w:rPr>
              <w:t xml:space="preserve">48</w:t>
            </w:r>
          </w:p>
        </w:tc>
        <w:tc>
          <w:tcPr>
            <w:tcW w:type="dxa" w:w="3182"/>
            <w:tcMar>
              <w:top w:type="dxa" w:w="70"/>
              <w:left w:type="dxa" w:w="110"/>
              <w:bottom w:type="dxa" w:w="70"/>
              <w:right w:type="dxa" w:w="110"/>
            </w:tcMar>
          </w:tcPr>
          <w:p>
            <w:pPr>
              <w:spacing w:after="0" w:line="250"/>
            </w:pPr>
            <w:r>
              <w:rPr>
                <w:rFonts w:ascii="Calibri" w:cs="Calibri" w:eastAsia="Calibri" w:hAnsi="Calibri"/>
                <w:sz w:val="19"/>
                <w:szCs w:val="19"/>
              </w:rPr>
              <w:t xml:space="preserve">Geografía</w:t>
            </w:r>
          </w:p>
        </w:tc>
      </w:tr>
      <w:tr>
        <w:tc>
          <w:tcPr>
            <w:tcW w:type="dxa" w:w="468"/>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6</w:t>
            </w:r>
          </w:p>
        </w:tc>
        <w:tc>
          <w:tcPr>
            <w:tcW w:type="dxa" w:w="3089"/>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Marca, Vendedor (plano)</w:t>
            </w:r>
          </w:p>
        </w:tc>
        <w:tc>
          <w:tcPr>
            <w:tcW w:type="dxa" w:w="1685"/>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Miles de dólares</w:t>
            </w:r>
          </w:p>
        </w:tc>
        <w:tc>
          <w:tcPr>
            <w:tcW w:type="dxa" w:w="936"/>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48</w:t>
            </w:r>
          </w:p>
        </w:tc>
        <w:tc>
          <w:tcPr>
            <w:tcW w:type="dxa" w:w="3182"/>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Ranking comercial</w:t>
            </w:r>
          </w:p>
        </w:tc>
      </w:tr>
      <w:tr>
        <w:tc>
          <w:tcPr>
            <w:tcW w:type="dxa" w:w="468"/>
            <w:tcMar>
              <w:top w:type="dxa" w:w="70"/>
              <w:left w:type="dxa" w:w="110"/>
              <w:bottom w:type="dxa" w:w="70"/>
              <w:right w:type="dxa" w:w="110"/>
            </w:tcMar>
          </w:tcPr>
          <w:p>
            <w:pPr>
              <w:spacing w:after="0" w:line="250"/>
            </w:pPr>
            <w:r>
              <w:rPr>
                <w:rFonts w:ascii="Calibri" w:cs="Calibri" w:eastAsia="Calibri" w:hAnsi="Calibri"/>
                <w:sz w:val="19"/>
                <w:szCs w:val="19"/>
              </w:rPr>
              <w:t xml:space="preserve">7</w:t>
            </w:r>
          </w:p>
        </w:tc>
        <w:tc>
          <w:tcPr>
            <w:tcW w:type="dxa" w:w="3089"/>
            <w:tcMar>
              <w:top w:type="dxa" w:w="70"/>
              <w:left w:type="dxa" w:w="110"/>
              <w:bottom w:type="dxa" w:w="70"/>
              <w:right w:type="dxa" w:w="110"/>
            </w:tcMar>
          </w:tcPr>
          <w:p>
            <w:pPr>
              <w:spacing w:after="0" w:line="250"/>
            </w:pPr>
            <w:r>
              <w:rPr>
                <w:rFonts w:ascii="Calibri" w:cs="Calibri" w:eastAsia="Calibri" w:hAnsi="Calibri"/>
                <w:sz w:val="19"/>
                <w:szCs w:val="19"/>
              </w:rPr>
              <w:t xml:space="preserve">Marca, Cliente (plano)</w:t>
            </w:r>
          </w:p>
        </w:tc>
        <w:tc>
          <w:tcPr>
            <w:tcW w:type="dxa" w:w="1685"/>
            <w:tcMar>
              <w:top w:type="dxa" w:w="70"/>
              <w:left w:type="dxa" w:w="110"/>
              <w:bottom w:type="dxa" w:w="70"/>
              <w:right w:type="dxa" w:w="110"/>
            </w:tcMar>
          </w:tcPr>
          <w:p>
            <w:pPr>
              <w:spacing w:after="0" w:line="250"/>
            </w:pPr>
            <w:r>
              <w:rPr>
                <w:rFonts w:ascii="Calibri" w:cs="Calibri" w:eastAsia="Calibri" w:hAnsi="Calibri"/>
                <w:sz w:val="19"/>
                <w:szCs w:val="19"/>
              </w:rPr>
              <w:t xml:space="preserve">Miles de dólares</w:t>
            </w:r>
          </w:p>
        </w:tc>
        <w:tc>
          <w:tcPr>
            <w:tcW w:type="dxa" w:w="936"/>
            <w:tcMar>
              <w:top w:type="dxa" w:w="70"/>
              <w:left w:type="dxa" w:w="110"/>
              <w:bottom w:type="dxa" w:w="70"/>
              <w:right w:type="dxa" w:w="110"/>
            </w:tcMar>
          </w:tcPr>
          <w:p>
            <w:pPr>
              <w:spacing w:after="0" w:line="250"/>
            </w:pPr>
            <w:r>
              <w:rPr>
                <w:rFonts w:ascii="Calibri" w:cs="Calibri" w:eastAsia="Calibri" w:hAnsi="Calibri"/>
                <w:sz w:val="19"/>
                <w:szCs w:val="19"/>
              </w:rPr>
              <w:t xml:space="preserve">12</w:t>
            </w:r>
          </w:p>
        </w:tc>
        <w:tc>
          <w:tcPr>
            <w:tcW w:type="dxa" w:w="3182"/>
            <w:tcMar>
              <w:top w:type="dxa" w:w="70"/>
              <w:left w:type="dxa" w:w="110"/>
              <w:bottom w:type="dxa" w:w="70"/>
              <w:right w:type="dxa" w:w="110"/>
            </w:tcMar>
          </w:tcPr>
          <w:p>
            <w:pPr>
              <w:spacing w:after="0" w:line="250"/>
            </w:pPr>
            <w:r>
              <w:rPr>
                <w:rFonts w:ascii="Calibri" w:cs="Calibri" w:eastAsia="Calibri" w:hAnsi="Calibri"/>
                <w:sz w:val="19"/>
                <w:szCs w:val="19"/>
              </w:rPr>
              <w:t xml:space="preserve">Ranking de clientes</w:t>
            </w:r>
          </w:p>
        </w:tc>
      </w:tr>
      <w:tr>
        <w:tc>
          <w:tcPr>
            <w:tcW w:type="dxa" w:w="468"/>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8</w:t>
            </w:r>
          </w:p>
        </w:tc>
        <w:tc>
          <w:tcPr>
            <w:tcW w:type="dxa" w:w="3089"/>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Marca, Artículo filtrado a EPA</w:t>
            </w:r>
          </w:p>
        </w:tc>
        <w:tc>
          <w:tcPr>
            <w:tcW w:type="dxa" w:w="1685"/>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Miles de dólares</w:t>
            </w:r>
          </w:p>
        </w:tc>
        <w:tc>
          <w:tcPr>
            <w:tcW w:type="dxa" w:w="936"/>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48</w:t>
            </w:r>
          </w:p>
        </w:tc>
        <w:tc>
          <w:tcPr>
            <w:tcW w:type="dxa" w:w="3182"/>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Botón de EPA</w:t>
            </w:r>
          </w:p>
        </w:tc>
      </w:tr>
      <w:tr>
        <w:tc>
          <w:tcPr>
            <w:tcW w:type="dxa" w:w="468"/>
            <w:tcMar>
              <w:top w:type="dxa" w:w="70"/>
              <w:left w:type="dxa" w:w="110"/>
              <w:bottom w:type="dxa" w:w="70"/>
              <w:right w:type="dxa" w:w="110"/>
            </w:tcMar>
          </w:tcPr>
          <w:p>
            <w:pPr>
              <w:spacing w:after="0" w:line="250"/>
            </w:pPr>
            <w:r>
              <w:rPr>
                <w:rFonts w:ascii="Calibri" w:cs="Calibri" w:eastAsia="Calibri" w:hAnsi="Calibri"/>
                <w:sz w:val="19"/>
                <w:szCs w:val="19"/>
              </w:rPr>
              <w:t xml:space="preserve">9</w:t>
            </w:r>
          </w:p>
        </w:tc>
        <w:tc>
          <w:tcPr>
            <w:tcW w:type="dxa" w:w="3089"/>
            <w:tcMar>
              <w:top w:type="dxa" w:w="70"/>
              <w:left w:type="dxa" w:w="110"/>
              <w:bottom w:type="dxa" w:w="70"/>
              <w:right w:type="dxa" w:w="110"/>
            </w:tcMar>
          </w:tcPr>
          <w:p>
            <w:pPr>
              <w:spacing w:after="0" w:line="250"/>
            </w:pPr>
            <w:r>
              <w:rPr>
                <w:rFonts w:ascii="Calibri" w:cs="Calibri" w:eastAsia="Calibri" w:hAnsi="Calibri"/>
                <w:sz w:val="19"/>
                <w:szCs w:val="19"/>
              </w:rPr>
              <w:t xml:space="preserve">Marca, Artículo filtrado a EPA</w:t>
            </w:r>
          </w:p>
        </w:tc>
        <w:tc>
          <w:tcPr>
            <w:tcW w:type="dxa" w:w="1685"/>
            <w:tcMar>
              <w:top w:type="dxa" w:w="70"/>
              <w:left w:type="dxa" w:w="110"/>
              <w:bottom w:type="dxa" w:w="70"/>
              <w:right w:type="dxa" w:w="110"/>
            </w:tcMar>
          </w:tcPr>
          <w:p>
            <w:pPr>
              <w:spacing w:after="0" w:line="250"/>
            </w:pPr>
            <w:r>
              <w:rPr>
                <w:rFonts w:ascii="Calibri" w:cs="Calibri" w:eastAsia="Calibri" w:hAnsi="Calibri"/>
                <w:sz w:val="19"/>
                <w:szCs w:val="19"/>
              </w:rPr>
              <w:t xml:space="preserve">Unidad</w:t>
            </w:r>
          </w:p>
        </w:tc>
        <w:tc>
          <w:tcPr>
            <w:tcW w:type="dxa" w:w="936"/>
            <w:tcMar>
              <w:top w:type="dxa" w:w="70"/>
              <w:left w:type="dxa" w:w="110"/>
              <w:bottom w:type="dxa" w:w="70"/>
              <w:right w:type="dxa" w:w="110"/>
            </w:tcMar>
          </w:tcPr>
          <w:p>
            <w:pPr>
              <w:spacing w:after="0" w:line="250"/>
            </w:pPr>
            <w:r>
              <w:rPr>
                <w:rFonts w:ascii="Calibri" w:cs="Calibri" w:eastAsia="Calibri" w:hAnsi="Calibri"/>
                <w:sz w:val="19"/>
                <w:szCs w:val="19"/>
              </w:rPr>
              <w:t xml:space="preserve">48</w:t>
            </w:r>
          </w:p>
        </w:tc>
        <w:tc>
          <w:tcPr>
            <w:tcW w:type="dxa" w:w="3182"/>
            <w:tcMar>
              <w:top w:type="dxa" w:w="70"/>
              <w:left w:type="dxa" w:w="110"/>
              <w:bottom w:type="dxa" w:w="70"/>
              <w:right w:type="dxa" w:w="110"/>
            </w:tcMar>
          </w:tcPr>
          <w:p>
            <w:pPr>
              <w:spacing w:after="0" w:line="250"/>
            </w:pPr>
            <w:r>
              <w:rPr>
                <w:rFonts w:ascii="Calibri" w:cs="Calibri" w:eastAsia="Calibri" w:hAnsi="Calibri"/>
                <w:sz w:val="19"/>
                <w:szCs w:val="19"/>
              </w:rPr>
              <w:t xml:space="preserve">Botón de EPA</w:t>
            </w:r>
          </w:p>
        </w:tc>
      </w:tr>
    </w:tbl>
    <w:p>
      <w:pPr>
        <w:spacing w:after="0"/>
      </w:pPr>
      <w:r>
        <w:rPr>
          <w:sz w:val="14"/>
          <w:szCs w:val="14"/>
        </w:rPr>
        <w:t xml:space="preserve"/>
      </w:r>
    </w:p>
    <w:p>
      <w:pPr>
        <w:spacing w:after="120" w:line="276"/>
      </w:pPr>
      <w:r>
        <w:rPr>
          <w:rFonts w:ascii="Calibri" w:cs="Calibri" w:eastAsia="Calibri" w:hAnsi="Calibri"/>
          <w:sz w:val="21"/>
          <w:szCs w:val="21"/>
        </w:rPr>
        <w:t xml:space="preserve">Más el infocompras, un archivo que Febeca ya mantiene por su cuenta (ver sección 5).</w:t>
      </w:r>
    </w:p>
    <w:p>
      <w:pPr>
        <w:pStyle w:val="Heading2"/>
        <w:spacing w:after="120" w:before="260"/>
      </w:pPr>
      <w:r>
        <w:rPr>
          <w:rFonts w:ascii="Calibri" w:cs="Calibri" w:eastAsia="Calibri" w:hAnsi="Calibri"/>
          <w:b/>
          <w:bCs/>
          <w:color w:val="1F4E79"/>
          <w:sz w:val="24"/>
          <w:szCs w:val="24"/>
        </w:rPr>
        <w:t xml:space="preserve">Indicadores que hay que pedir</w:t>
      </w:r>
    </w:p>
    <w:p>
      <w:pPr>
        <w:spacing w:after="120" w:line="276"/>
      </w:pPr>
      <w:r>
        <w:rPr>
          <w:rFonts w:ascii="Calibri" w:cs="Calibri" w:eastAsia="Calibri" w:hAnsi="Calibri"/>
          <w:sz w:val="21"/>
          <w:szCs w:val="21"/>
        </w:rPr>
        <w:t xml:space="preserve">Venta Neta, Venta Bruta, Contribución, Margen, Inventario, Rotación, Clientes activados, Clientes Inactivos, SKU activados, Presupuesto bruto, Presupuesto neto y Presupuesto de contribución.</w:t>
      </w:r>
    </w:p>
    <w:p>
      <w:pPr>
        <w:pStyle w:val="Heading3"/>
        <w:spacing w:after="100" w:before="200"/>
      </w:pPr>
      <w:r>
        <w:rPr>
          <w:rFonts w:ascii="Calibri" w:cs="Calibri" w:eastAsia="Calibri" w:hAnsi="Calibri"/>
          <w:b/>
          <w:bCs/>
          <w:color w:val="2E5F8A"/>
          <w:sz w:val="21"/>
          <w:szCs w:val="21"/>
        </w:rPr>
        <w:t xml:space="preserve">Los que NO hay que pedir</w:t>
      </w:r>
    </w:p>
    <w:p>
      <w:pPr>
        <w:spacing w:after="120" w:line="276"/>
      </w:pPr>
      <w:r>
        <w:rPr>
          <w:rFonts w:ascii="Calibri" w:cs="Calibri" w:eastAsia="Calibri" w:hAnsi="Calibri"/>
          <w:sz w:val="21"/>
          <w:szCs w:val="21"/>
        </w:rPr>
        <w:t xml:space="preserve">Devolución %, Clientes activados %, SKU activados %, Dif. Margen, Dif. Contribución, Presupuesto de inventario y Artículos. Todos son derivados: el dashboard los recalcula y pedirlos solo infla el archivo y acerca el truncamiento.</w:t>
      </w:r>
    </w:p>
    <w:p>
      <w:pPr>
        <w:spacing w:after="120" w:line="276"/>
      </w:pPr>
      <w:r>
        <w:rPr>
          <w:rFonts w:ascii="Calibri" w:cs="Calibri" w:eastAsia="Calibri" w:hAnsi="Calibri"/>
          <w:sz w:val="21"/>
          <w:szCs w:val="21"/>
        </w:rPr>
        <w:t xml:space="preserve">«SKU de inventario» no existe en el SIM. Se obtiene contando los artículos con DISP mayor a cero en el infocompras.</w:t>
      </w:r>
    </w:p>
    <w:p>
      <w:pPr>
        <w:pStyle w:val="Heading2"/>
        <w:spacing w:after="120" w:before="260"/>
      </w:pPr>
      <w:r>
        <w:rPr>
          <w:rFonts w:ascii="Calibri" w:cs="Calibri" w:eastAsia="Calibri" w:hAnsi="Calibri"/>
          <w:b/>
          <w:bCs/>
          <w:color w:val="1F4E79"/>
          <w:sz w:val="24"/>
          <w:szCs w:val="24"/>
        </w:rPr>
        <w:t xml:space="preserve">Frecuencia de descarga</w:t>
      </w:r>
    </w:p>
    <w:p>
      <w:pPr>
        <w:spacing w:after="120" w:line="276"/>
      </w:pPr>
      <w:r>
        <w:rPr>
          <w:rFonts w:ascii="Calibri" w:cs="Calibri" w:eastAsia="Calibri" w:hAnsi="Calibri"/>
          <w:sz w:val="21"/>
          <w:szCs w:val="21"/>
        </w:rPr>
        <w:t xml:space="preserve">La historia de 48 meses se baja una sola vez. Cada semana el comprador baja únicamente el mes corriente, que son archivos de unos 20 KB, y el dashboard los fusiona con lo que ya tiene guardado. Ese es el ahorro de tiempo real.</w:t>
      </w:r>
    </w:p>
    <w:p>
      <w:r>
        <w:br w:type="page"/>
      </w:r>
    </w:p>
    <w:p>
      <w:pPr>
        <w:pStyle w:val="Heading1"/>
        <w:spacing w:after="160" w:before="360"/>
      </w:pPr>
      <w:r>
        <w:rPr>
          <w:rFonts w:ascii="Calibri" w:cs="Calibri" w:eastAsia="Calibri" w:hAnsi="Calibri"/>
          <w:b/>
          <w:bCs/>
          <w:color w:val="1F4E79"/>
          <w:sz w:val="30"/>
          <w:szCs w:val="30"/>
        </w:rPr>
        <w:t xml:space="preserve">4. Cómo vienen los archivos y qué trampas tienen</w:t>
      </w:r>
    </w:p>
    <w:p>
      <w:pPr>
        <w:spacing w:after="120" w:line="276"/>
      </w:pPr>
      <w:r>
        <w:rPr>
          <w:rFonts w:ascii="Calibri" w:cs="Calibri" w:eastAsia="Calibri" w:hAnsi="Calibri"/>
          <w:sz w:val="21"/>
          <w:szCs w:val="21"/>
        </w:rPr>
        <w:t xml:space="preserve">Cada exportación es un .xlsx con una sola hoja llamada «Export», en formato de tabla cruzada:</w:t>
      </w:r>
    </w:p>
    <w:p>
      <w:pPr>
        <w:spacing w:after="0"/>
      </w:pPr>
      <w:r>
        <w:rPr>
          <w:sz w:val="14"/>
          <w:szCs w:val="14"/>
        </w:rPr>
        <w:t xml:space="preserve"/>
      </w:r>
    </w:p>
    <w:tbl>
      <w:tblPr>
        <w:tblW w:type="dxa" w:w="9360"/>
        <w:tblBorders>
          <w:top w:val="single" w:color="D6DCE1" w:sz="2"/>
          <w:left w:val="single" w:color="D6DCE1" w:sz="2"/>
          <w:bottom w:val="single" w:color="D6DCE1" w:sz="2"/>
          <w:right w:val="single" w:color="D6DCE1" w:sz="2"/>
          <w:insideH w:val="single" w:color="D6DCE1" w:sz="2"/>
          <w:insideV w:val="single" w:color="D6DCE1" w:sz="2"/>
        </w:tblBorders>
      </w:tblPr>
      <w:tblGrid>
        <w:gridCol w:w="1685"/>
        <w:gridCol w:w="7675"/>
      </w:tblGrid>
      <w:tr>
        <w:trPr>
          <w:tblHeader/>
        </w:trPr>
        <w:tc>
          <w:tcPr>
            <w:tcW w:type="dxa" w:w="1685"/>
            <w:shd w:fill="1F4E79"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Fila</w:t>
            </w:r>
          </w:p>
        </w:tc>
        <w:tc>
          <w:tcPr>
            <w:tcW w:type="dxa" w:w="7675"/>
            <w:shd w:fill="1F4E79"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Contenido</w:t>
            </w:r>
          </w:p>
        </w:tc>
      </w:tr>
      <w:tr>
        <w:tc>
          <w:tcPr>
            <w:tcW w:type="dxa" w:w="1685"/>
            <w:tcMar>
              <w:top w:type="dxa" w:w="70"/>
              <w:left w:type="dxa" w:w="110"/>
              <w:bottom w:type="dxa" w:w="70"/>
              <w:right w:type="dxa" w:w="110"/>
            </w:tcMar>
          </w:tcPr>
          <w:p>
            <w:pPr>
              <w:spacing w:after="0" w:line="250"/>
            </w:pPr>
            <w:r>
              <w:rPr>
                <w:rFonts w:ascii="Calibri" w:cs="Calibri" w:eastAsia="Calibri" w:hAnsi="Calibri"/>
                <w:sz w:val="19"/>
                <w:szCs w:val="19"/>
              </w:rPr>
              <w:t xml:space="preserve">0</w:t>
            </w:r>
          </w:p>
        </w:tc>
        <w:tc>
          <w:tcPr>
            <w:tcW w:type="dxa" w:w="7675"/>
            <w:tcMar>
              <w:top w:type="dxa" w:w="70"/>
              <w:left w:type="dxa" w:w="110"/>
              <w:bottom w:type="dxa" w:w="70"/>
              <w:right w:type="dxa" w:w="110"/>
            </w:tcMar>
          </w:tcPr>
          <w:p>
            <w:pPr>
              <w:spacing w:after="0" w:line="250"/>
            </w:pPr>
            <w:r>
              <w:rPr>
                <w:rFonts w:ascii="Calibri" w:cs="Calibri" w:eastAsia="Calibri" w:hAnsi="Calibri"/>
                <w:sz w:val="19"/>
                <w:szCs w:val="19"/>
              </w:rPr>
              <w:t xml:space="preserve">Mes | (vacío) | (vacío) | 8-2023 | 8-2023 | 8-2023 | 9-2023 | …</w:t>
            </w:r>
          </w:p>
        </w:tc>
      </w:tr>
      <w:tr>
        <w:tc>
          <w:tcPr>
            <w:tcW w:type="dxa" w:w="1685"/>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1</w:t>
            </w:r>
          </w:p>
        </w:tc>
        <w:tc>
          <w:tcPr>
            <w:tcW w:type="dxa" w:w="7675"/>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Categoría | Articulo | Marca | Contribución | Inventario | Venta Neta | …</w:t>
            </w:r>
          </w:p>
        </w:tc>
      </w:tr>
      <w:tr>
        <w:tc>
          <w:tcPr>
            <w:tcW w:type="dxa" w:w="1685"/>
            <w:tcMar>
              <w:top w:type="dxa" w:w="70"/>
              <w:left w:type="dxa" w:w="110"/>
              <w:bottom w:type="dxa" w:w="70"/>
              <w:right w:type="dxa" w:w="110"/>
            </w:tcMar>
          </w:tcPr>
          <w:p>
            <w:pPr>
              <w:spacing w:after="0" w:line="250"/>
            </w:pPr>
            <w:r>
              <w:rPr>
                <w:rFonts w:ascii="Calibri" w:cs="Calibri" w:eastAsia="Calibri" w:hAnsi="Calibri"/>
                <w:sz w:val="19"/>
                <w:szCs w:val="19"/>
              </w:rPr>
              <w:t xml:space="preserve">2 en adelante</w:t>
            </w:r>
          </w:p>
        </w:tc>
        <w:tc>
          <w:tcPr>
            <w:tcW w:type="dxa" w:w="7675"/>
            <w:tcMar>
              <w:top w:type="dxa" w:w="70"/>
              <w:left w:type="dxa" w:w="110"/>
              <w:bottom w:type="dxa" w:w="70"/>
              <w:right w:type="dxa" w:w="110"/>
            </w:tcMar>
          </w:tcPr>
          <w:p>
            <w:pPr>
              <w:spacing w:after="0" w:line="250"/>
            </w:pPr>
            <w:r>
              <w:rPr>
                <w:rFonts w:ascii="Calibri" w:cs="Calibri" w:eastAsia="Calibri" w:hAnsi="Calibri"/>
                <w:sz w:val="19"/>
                <w:szCs w:val="19"/>
              </w:rPr>
              <w:t xml:space="preserve">Los datos, con filas «Total» intercaladas en cada nivel de la jerarquía</w:t>
            </w:r>
          </w:p>
        </w:tc>
      </w:tr>
      <w:tr>
        <w:tc>
          <w:tcPr>
            <w:tcW w:type="dxa" w:w="1685"/>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Al pie</w:t>
            </w:r>
          </w:p>
        </w:tc>
        <w:tc>
          <w:tcPr>
            <w:tcW w:type="dxa" w:w="7675"/>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Bloque «Filtros aplicados» con marca, máscara, Parameter y rango de fechas</w:t>
            </w:r>
          </w:p>
        </w:tc>
      </w:tr>
    </w:tbl>
    <w:p>
      <w:pPr>
        <w:spacing w:after="0"/>
      </w:pPr>
      <w:r>
        <w:rPr>
          <w:sz w:val="14"/>
          <w:szCs w:val="14"/>
        </w:rPr>
        <w:t xml:space="preserve"/>
      </w:r>
    </w:p>
    <w:p>
      <w:pPr>
        <w:spacing w:after="120" w:line="276"/>
      </w:pPr>
      <w:r>
        <w:rPr>
          <w:rFonts w:ascii="Calibri" w:cs="Calibri" w:eastAsia="Calibri" w:hAnsi="Calibri"/>
          <w:sz w:val="21"/>
          <w:szCs w:val="21"/>
        </w:rPr>
        <w:t xml:space="preserve">Las columnas de dimensión son las que están antes de la primera columna que tiene un mes en la fila 0. El bloque de filtros al pie permite detectar automáticamente qué es cada archivo, lo que hace posible que el usuario suelte todo junto sin ordenar nada.</w:t>
      </w:r>
    </w:p>
    <w:p>
      <w:pPr>
        <w:spacing w:after="0"/>
      </w:pPr>
      <w:r>
        <w:rPr>
          <w:sz w:val="14"/>
          <w:szCs w:val="14"/>
        </w:rPr>
        <w:t xml:space="preserve"/>
      </w:r>
    </w:p>
    <w:tbl>
      <w:tblPr>
        <w:tblW w:type="dxa" w:w="9360"/>
        <w:tblBorders>
          <w:top w:val="single" w:color="D6DCE1" w:sz="2"/>
          <w:left w:val="single" w:color="C0504D" w:sz="18"/>
          <w:bottom w:val="single" w:color="D6DCE1" w:sz="2"/>
          <w:right w:val="single" w:color="D6DCE1" w:sz="2"/>
          <w:insideH w:val="single" w:color="D6DCE1" w:sz="2"/>
          <w:insideV w:val="single" w:color="D6DCE1" w:sz="2"/>
        </w:tblBorders>
      </w:tblPr>
      <w:tblGrid>
        <w:gridCol w:w="9360"/>
      </w:tblGrid>
      <w:tr>
        <w:tc>
          <w:tcPr>
            <w:tcW w:type="dxa" w:w="9360"/>
            <w:shd w:fill="F2F5F7" w:color="auto" w:val="clear"/>
            <w:tcMar>
              <w:top w:type="dxa" w:w="130"/>
              <w:left w:type="dxa" w:w="170"/>
              <w:bottom w:type="dxa" w:w="130"/>
              <w:right w:type="dxa" w:w="170"/>
            </w:tcMar>
          </w:tcPr>
          <w:p>
            <w:pPr>
              <w:spacing w:after="60"/>
            </w:pPr>
            <w:r>
              <w:rPr>
                <w:rFonts w:ascii="Calibri" w:cs="Calibri" w:eastAsia="Calibri" w:hAnsi="Calibri"/>
                <w:b/>
                <w:bCs/>
                <w:color w:val="C0504D"/>
                <w:sz w:val="20"/>
                <w:szCs w:val="20"/>
              </w:rPr>
              <w:t xml:space="preserve">Ojo con la detección automática</w:t>
            </w:r>
          </w:p>
          <w:p>
            <w:pPr>
              <w:spacing w:after="0" w:line="260"/>
            </w:pPr>
            <w:r>
              <w:rPr>
                <w:rFonts w:ascii="Calibri" w:cs="Calibri" w:eastAsia="Calibri" w:hAnsi="Calibri"/>
                <w:sz w:val="20"/>
                <w:szCs w:val="20"/>
              </w:rPr>
              <w:t xml:space="preserve">Algunas exportaciones del SIM no traen el bloque de filtros al pie. El parser necesita un plan B que detecte el tipo de archivo por la estructura del encabezado (qué dimensiones aparecen en la fila 1).</w:t>
            </w:r>
          </w:p>
        </w:tc>
      </w:tr>
    </w:tbl>
    <w:p>
      <w:pPr>
        <w:pStyle w:val="Heading2"/>
        <w:spacing w:after="120" w:before="260"/>
      </w:pPr>
      <w:r>
        <w:rPr>
          <w:rFonts w:ascii="Calibri" w:cs="Calibri" w:eastAsia="Calibri" w:hAnsi="Calibri"/>
          <w:b/>
          <w:bCs/>
          <w:color w:val="1F4E79"/>
          <w:sz w:val="24"/>
          <w:szCs w:val="24"/>
        </w:rPr>
        <w:t xml:space="preserve">Las ocho trampas confirmadas</w:t>
      </w:r>
    </w:p>
    <w:p>
      <w:pPr>
        <w:spacing w:after="120" w:line="276"/>
      </w:pPr>
      <w:r>
        <w:rPr>
          <w:rFonts w:ascii="Calibri" w:cs="Calibri" w:eastAsia="Calibri" w:hAnsi="Calibri"/>
          <w:sz w:val="21"/>
          <w:szCs w:val="21"/>
        </w:rPr>
        <w:t xml:space="preserve">Todas estas se descubrieron validando los archivos reales. Cada una produce números incorrectos de forma silenciosa, sin que nada falle visiblemente.</w:t>
      </w:r>
    </w:p>
    <w:p>
      <w:pPr>
        <w:pStyle w:val="Heading3"/>
        <w:spacing w:after="100" w:before="200"/>
      </w:pPr>
      <w:r>
        <w:rPr>
          <w:rFonts w:ascii="Calibri" w:cs="Calibri" w:eastAsia="Calibri" w:hAnsi="Calibri"/>
          <w:b/>
          <w:bCs/>
          <w:color w:val="2E5F8A"/>
          <w:sz w:val="21"/>
          <w:szCs w:val="21"/>
        </w:rPr>
        <w:t xml:space="preserve">1. Filas «Total» intercaladas</w:t>
      </w:r>
    </w:p>
    <w:p>
      <w:pPr>
        <w:spacing w:after="120" w:line="276"/>
      </w:pPr>
      <w:r>
        <w:rPr>
          <w:rFonts w:ascii="Calibri" w:cs="Calibri" w:eastAsia="Calibri" w:hAnsi="Calibri"/>
          <w:sz w:val="21"/>
          <w:szCs w:val="21"/>
        </w:rPr>
        <w:t xml:space="preserve">Hay subtotales en cada nivel de la jerarquía. La regla correcta es que ninguna columna de dimensión puede valer «Total». Verificar solo la última dimensión no alcanza: por ese error los estados salían multiplicados por tres y los supervisores por dos.</w:t>
      </w:r>
    </w:p>
    <w:p>
      <w:pPr>
        <w:pStyle w:val="Heading3"/>
        <w:spacing w:after="100" w:before="200"/>
      </w:pPr>
      <w:r>
        <w:rPr>
          <w:rFonts w:ascii="Calibri" w:cs="Calibri" w:eastAsia="Calibri" w:hAnsi="Calibri"/>
          <w:b/>
          <w:bCs/>
          <w:color w:val="2E5F8A"/>
          <w:sz w:val="21"/>
          <w:szCs w:val="21"/>
        </w:rPr>
        <w:t xml:space="preserve">2. Escalas mezcladas</w:t>
      </w:r>
    </w:p>
    <w:p>
      <w:pPr>
        <w:spacing w:after="120" w:line="276"/>
      </w:pPr>
      <w:r>
        <w:rPr>
          <w:rFonts w:ascii="Calibri" w:cs="Calibri" w:eastAsia="Calibri" w:hAnsi="Calibri"/>
          <w:sz w:val="21"/>
          <w:szCs w:val="21"/>
        </w:rPr>
        <w:t xml:space="preserve">La máscara dice «Miles de dólares», pero el indicador Presupuesto bruto viene en dólares absolutos: 141.751,03 contra una Venta Neta de 145,696. Hay que dividirlo entre mil. Presupuesto de contribución sí viene en miles, así que no es una regla general: hay que mapear campo por campo.</w:t>
      </w:r>
    </w:p>
    <w:p>
      <w:pPr>
        <w:pStyle w:val="Heading3"/>
        <w:spacing w:after="100" w:before="200"/>
      </w:pPr>
      <w:r>
        <w:rPr>
          <w:rFonts w:ascii="Calibri" w:cs="Calibri" w:eastAsia="Calibri" w:hAnsi="Calibri"/>
          <w:b/>
          <w:bCs/>
          <w:color w:val="2E5F8A"/>
          <w:sz w:val="21"/>
          <w:szCs w:val="21"/>
        </w:rPr>
        <w:t xml:space="preserve">3. Métricas no aditivas repetidas en cada fila</w:t>
      </w:r>
    </w:p>
    <w:p>
      <w:pPr>
        <w:spacing w:after="120" w:line="276"/>
      </w:pPr>
      <w:r>
        <w:rPr>
          <w:rFonts w:ascii="Calibri" w:cs="Calibri" w:eastAsia="Calibri" w:hAnsi="Calibri"/>
          <w:sz w:val="21"/>
          <w:szCs w:val="21"/>
        </w:rPr>
        <w:t xml:space="preserve">Inventario, Rotación y Artículos aparecen idénticos en todas las filas de los cortes por vendedor o por cliente: son valores de la marca, no del vendedor. Si alguien les hace un SUM() obtiene un número absurdo.</w:t>
      </w:r>
    </w:p>
    <w:p>
      <w:pPr>
        <w:spacing w:after="120" w:line="276"/>
      </w:pPr>
      <w:r>
        <w:rPr>
          <w:rFonts w:ascii="Calibri" w:cs="Calibri" w:eastAsia="Calibri" w:hAnsi="Calibri"/>
          <w:sz w:val="21"/>
          <w:szCs w:val="21"/>
        </w:rPr>
        <w:t xml:space="preserve">Los ratios (Margen, GMROI, todos los porcentajes) se recalculan siempre, nunca se suman. Y recalcularlos es además la única forma de que sigan siendo correctos cuando se excluye a EPA.</w:t>
      </w:r>
    </w:p>
    <w:p>
      <w:pPr>
        <w:pStyle w:val="Heading3"/>
        <w:spacing w:after="100" w:before="200"/>
      </w:pPr>
      <w:r>
        <w:rPr>
          <w:rFonts w:ascii="Calibri" w:cs="Calibri" w:eastAsia="Calibri" w:hAnsi="Calibri"/>
          <w:b/>
          <w:bCs/>
          <w:color w:val="2E5F8A"/>
          <w:sz w:val="21"/>
          <w:szCs w:val="21"/>
        </w:rPr>
        <w:t xml:space="preserve">4. Meses futuros sin venta</w:t>
      </w:r>
    </w:p>
    <w:p>
      <w:pPr>
        <w:spacing w:after="120" w:line="276"/>
      </w:pPr>
      <w:r>
        <w:rPr>
          <w:rFonts w:ascii="Calibri" w:cs="Calibri" w:eastAsia="Calibri" w:hAnsi="Calibri"/>
          <w:sz w:val="21"/>
          <w:szCs w:val="21"/>
        </w:rPr>
        <w:t xml:space="preserve">El archivo trae octubre, noviembre y diciembre de 2026 solo con presupuesto. Los meses válidos son los que tienen Venta Neta, no los que aparecen en el encabezado. Por no filtrar esto, la primera versión calculaba todo contra noviembre y salía vacía.</w:t>
      </w:r>
    </w:p>
    <w:p>
      <w:pPr>
        <w:pStyle w:val="Heading3"/>
        <w:spacing w:after="100" w:before="200"/>
      </w:pPr>
      <w:r>
        <w:rPr>
          <w:rFonts w:ascii="Calibri" w:cs="Calibri" w:eastAsia="Calibri" w:hAnsi="Calibri"/>
          <w:b/>
          <w:bCs/>
          <w:color w:val="2E5F8A"/>
          <w:sz w:val="21"/>
          <w:szCs w:val="21"/>
        </w:rPr>
        <w:t xml:space="preserve">5. El último mes con venta va incompleto</w:t>
      </w:r>
    </w:p>
    <w:p>
      <w:pPr>
        <w:spacing w:after="120" w:line="276"/>
      </w:pPr>
      <w:r>
        <w:rPr>
          <w:rFonts w:ascii="Calibri" w:cs="Calibri" w:eastAsia="Calibri" w:hAnsi="Calibri"/>
          <w:sz w:val="21"/>
          <w:szCs w:val="21"/>
        </w:rPr>
        <w:t xml:space="preserve">Todo cálculo de promedio, pronóstico y cobertura se hace contra meses cerrados. El mes corriente se muestra aparte, proyectado por días transcurridos.</w:t>
      </w:r>
    </w:p>
    <w:p>
      <w:pPr>
        <w:spacing w:after="120" w:line="276"/>
      </w:pPr>
      <w:r>
        <w:rPr>
          <w:rFonts w:ascii="Calibri" w:cs="Calibri" w:eastAsia="Calibri" w:hAnsi="Calibri"/>
          <w:sz w:val="21"/>
          <w:szCs w:val="21"/>
        </w:rPr>
        <w:t xml:space="preserve">Esto no es cosmético: en el mes parcial las devoluciones pesan más que las ventas, y 26 de 73 artículos mostraban «cobertura de menos 295 meses» antes de corregirlo.</w:t>
      </w:r>
    </w:p>
    <w:p>
      <w:pPr>
        <w:pStyle w:val="Heading3"/>
        <w:spacing w:after="100" w:before="200"/>
      </w:pPr>
      <w:r>
        <w:rPr>
          <w:rFonts w:ascii="Calibri" w:cs="Calibri" w:eastAsia="Calibri" w:hAnsi="Calibri"/>
          <w:b/>
          <w:bCs/>
          <w:color w:val="2E5F8A"/>
          <w:sz w:val="21"/>
          <w:szCs w:val="21"/>
        </w:rPr>
        <w:t xml:space="preserve">6. Tablas pegadas al lado</w:t>
      </w:r>
    </w:p>
    <w:p>
      <w:pPr>
        <w:spacing w:after="120" w:line="276"/>
      </w:pPr>
      <w:r>
        <w:rPr>
          <w:rFonts w:ascii="Calibri" w:cs="Calibri" w:eastAsia="Calibri" w:hAnsi="Calibri"/>
          <w:sz w:val="21"/>
          <w:szCs w:val="21"/>
        </w:rPr>
        <w:t xml:space="preserve">Si alguien pega manualmente otra tabla en las columnas de la derecha, el parser tiene que cortar el bloque de meses al primer hueco. Lo ideal es que nadie pegue nada a mano: unir archivos es trabajo del parser.</w:t>
      </w:r>
    </w:p>
    <w:p>
      <w:pPr>
        <w:pStyle w:val="Heading3"/>
        <w:spacing w:after="100" w:before="200"/>
      </w:pPr>
      <w:r>
        <w:rPr>
          <w:rFonts w:ascii="Calibri" w:cs="Calibri" w:eastAsia="Calibri" w:hAnsi="Calibri"/>
          <w:b/>
          <w:bCs/>
          <w:color w:val="2E5F8A"/>
          <w:sz w:val="21"/>
          <w:szCs w:val="21"/>
        </w:rPr>
        <w:t xml:space="preserve">7. EPA por coincidencia exacta, nunca por texto contenido</w:t>
      </w:r>
    </w:p>
    <w:p>
      <w:pPr>
        <w:spacing w:after="120" w:line="276"/>
      </w:pPr>
      <w:r>
        <w:rPr>
          <w:rFonts w:ascii="Calibri" w:cs="Calibri" w:eastAsia="Calibri" w:hAnsi="Calibri"/>
          <w:sz w:val="21"/>
          <w:szCs w:val="21"/>
        </w:rPr>
        <w:t xml:space="preserve">Buscar la palabra «EPA» dentro del nombre atrapa 22 clientes falsos: FERREPACA, FERREPAPEL, AREPA HOUSE, DEPARCA y otros. Los nombres reales son tres:</w:t>
      </w:r>
    </w:p>
    <w:p>
      <w:pPr>
        <w:pStyle w:val="ListParagraph"/>
        <w:numPr>
          <w:ilvl w:val="0"/>
          <w:numId w:val="2"/>
        </w:numPr>
        <w:spacing w:after="80" w:line="276"/>
      </w:pPr>
      <w:r>
        <w:rPr>
          <w:rFonts w:ascii="Calibri" w:cs="Calibri" w:eastAsia="Calibri" w:hAnsi="Calibri"/>
          <w:sz w:val="21"/>
          <w:szCs w:val="21"/>
        </w:rPr>
        <w:t xml:space="preserve">FERRETERIA EPA, C.A.  (es el que tiene datos)</w:t>
      </w:r>
    </w:p>
    <w:p>
      <w:pPr>
        <w:pStyle w:val="ListParagraph"/>
        <w:numPr>
          <w:ilvl w:val="0"/>
          <w:numId w:val="2"/>
        </w:numPr>
        <w:spacing w:after="80" w:line="276"/>
      </w:pPr>
      <w:r>
        <w:rPr>
          <w:rFonts w:ascii="Calibri" w:cs="Calibri" w:eastAsia="Calibri" w:hAnsi="Calibri"/>
          <w:sz w:val="21"/>
          <w:szCs w:val="21"/>
        </w:rPr>
        <w:t xml:space="preserve">FERRETERIA EPA S.A</w:t>
      </w:r>
    </w:p>
    <w:p>
      <w:pPr>
        <w:pStyle w:val="ListParagraph"/>
        <w:numPr>
          <w:ilvl w:val="0"/>
          <w:numId w:val="2"/>
        </w:numPr>
        <w:spacing w:after="80" w:line="276"/>
      </w:pPr>
      <w:r>
        <w:rPr>
          <w:rFonts w:ascii="Calibri" w:cs="Calibri" w:eastAsia="Calibri" w:hAnsi="Calibri"/>
          <w:sz w:val="21"/>
          <w:szCs w:val="21"/>
        </w:rPr>
        <w:t xml:space="preserve">FERRETERIA EPA, S.A.</w:t>
      </w:r>
    </w:p>
    <w:p>
      <w:pPr>
        <w:pStyle w:val="Heading3"/>
        <w:spacing w:after="100" w:before="200"/>
      </w:pPr>
      <w:r>
        <w:rPr>
          <w:rFonts w:ascii="Calibri" w:cs="Calibri" w:eastAsia="Calibri" w:hAnsi="Calibri"/>
          <w:b/>
          <w:bCs/>
          <w:color w:val="2E5F8A"/>
          <w:sz w:val="21"/>
          <w:szCs w:val="21"/>
        </w:rPr>
        <w:t xml:space="preserve">8. Códigos de artículo</w:t>
      </w:r>
    </w:p>
    <w:p>
      <w:pPr>
        <w:spacing w:after="120" w:line="276"/>
      </w:pPr>
      <w:r>
        <w:rPr>
          <w:rFonts w:ascii="Calibri" w:cs="Calibri" w:eastAsia="Calibri" w:hAnsi="Calibri"/>
          <w:sz w:val="21"/>
          <w:szCs w:val="21"/>
        </w:rPr>
        <w:t xml:space="preserve">El SIM entrega el artículo como «22-13-007 Canilla plástica 1/2 x 1/2" 40 cm PCP». El código es el primer token de esa cadena, y cruza limpio contra la columna CODIGO SOFTLAND del infocompras. En PCP cruzan los 80 de 80.</w:t>
      </w:r>
    </w:p>
    <w:p>
      <w:r>
        <w:br w:type="page"/>
      </w:r>
    </w:p>
    <w:p>
      <w:pPr>
        <w:pStyle w:val="Heading1"/>
        <w:spacing w:after="160" w:before="360"/>
      </w:pPr>
      <w:r>
        <w:rPr>
          <w:rFonts w:ascii="Calibri" w:cs="Calibri" w:eastAsia="Calibri" w:hAnsi="Calibri"/>
          <w:b/>
          <w:bCs/>
          <w:color w:val="1F4E79"/>
          <w:sz w:val="30"/>
          <w:szCs w:val="30"/>
        </w:rPr>
        <w:t xml:space="preserve">5. El infocompras</w:t>
      </w:r>
    </w:p>
    <w:p>
      <w:pPr>
        <w:spacing w:after="120" w:line="276"/>
      </w:pPr>
      <w:r>
        <w:rPr>
          <w:rFonts w:ascii="Calibri" w:cs="Calibri" w:eastAsia="Calibri" w:hAnsi="Calibri"/>
          <w:sz w:val="21"/>
          <w:szCs w:val="21"/>
        </w:rPr>
        <w:t xml:space="preserve">Es el archivo MARCAS_FEBECA_MASTER que Febeca ya mantiene. Tiene una hoja por marca (PCP, BOSCH, DAEWOO, EMTOP, PEDROLLO, RCA, EAGLE, GLADIATOR, ITALGRIF, AQUA NUOVA, TEZZA y otras), con el encabezado en la fila 3.</w:t>
      </w:r>
    </w:p>
    <w:p>
      <w:pPr>
        <w:spacing w:after="120" w:line="276"/>
      </w:pPr>
      <w:r>
        <w:rPr>
          <w:rFonts w:ascii="Calibri" w:cs="Calibri" w:eastAsia="Calibri" w:hAnsi="Calibri"/>
          <w:sz w:val="21"/>
          <w:szCs w:val="21"/>
        </w:rPr>
        <w:t xml:space="preserve">Aporta exactamente lo que al SIM le falta:</w:t>
      </w:r>
    </w:p>
    <w:p>
      <w:pPr>
        <w:spacing w:after="0"/>
      </w:pPr>
      <w:r>
        <w:rPr>
          <w:sz w:val="14"/>
          <w:szCs w:val="14"/>
        </w:rPr>
        <w:t xml:space="preserve"/>
      </w:r>
    </w:p>
    <w:tbl>
      <w:tblPr>
        <w:tblW w:type="dxa" w:w="9360"/>
        <w:tblBorders>
          <w:top w:val="single" w:color="D6DCE1" w:sz="2"/>
          <w:left w:val="single" w:color="D6DCE1" w:sz="2"/>
          <w:bottom w:val="single" w:color="D6DCE1" w:sz="2"/>
          <w:right w:val="single" w:color="D6DCE1" w:sz="2"/>
          <w:insideH w:val="single" w:color="D6DCE1" w:sz="2"/>
          <w:insideV w:val="single" w:color="D6DCE1" w:sz="2"/>
        </w:tblBorders>
      </w:tblPr>
      <w:tblGrid>
        <w:gridCol w:w="2808"/>
        <w:gridCol w:w="6552"/>
      </w:tblGrid>
      <w:tr>
        <w:trPr>
          <w:tblHeader/>
        </w:trPr>
        <w:tc>
          <w:tcPr>
            <w:tcW w:type="dxa" w:w="2808"/>
            <w:shd w:fill="1F4E79"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Columna</w:t>
            </w:r>
          </w:p>
        </w:tc>
        <w:tc>
          <w:tcPr>
            <w:tcW w:type="dxa" w:w="6552"/>
            <w:shd w:fill="1F4E79"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Qué aporta</w:t>
            </w:r>
          </w:p>
        </w:tc>
      </w:tr>
      <w:tr>
        <w:tc>
          <w:tcPr>
            <w:tcW w:type="dxa" w:w="2808"/>
            <w:tcMar>
              <w:top w:type="dxa" w:w="70"/>
              <w:left w:type="dxa" w:w="110"/>
              <w:bottom w:type="dxa" w:w="70"/>
              <w:right w:type="dxa" w:w="110"/>
            </w:tcMar>
          </w:tcPr>
          <w:p>
            <w:pPr>
              <w:spacing w:after="0" w:line="250"/>
            </w:pPr>
            <w:r>
              <w:rPr>
                <w:rFonts w:ascii="Calibri" w:cs="Calibri" w:eastAsia="Calibri" w:hAnsi="Calibri"/>
                <w:sz w:val="19"/>
                <w:szCs w:val="19"/>
              </w:rPr>
              <w:t xml:space="preserve">DISP</w:t>
            </w:r>
          </w:p>
        </w:tc>
        <w:tc>
          <w:tcPr>
            <w:tcW w:type="dxa" w:w="6552"/>
            <w:tcMar>
              <w:top w:type="dxa" w:w="70"/>
              <w:left w:type="dxa" w:w="110"/>
              <w:bottom w:type="dxa" w:w="70"/>
              <w:right w:type="dxa" w:w="110"/>
            </w:tcMar>
          </w:tcPr>
          <w:p>
            <w:pPr>
              <w:spacing w:after="0" w:line="250"/>
            </w:pPr>
            <w:r>
              <w:rPr>
                <w:rFonts w:ascii="Calibri" w:cs="Calibri" w:eastAsia="Calibri" w:hAnsi="Calibri"/>
                <w:sz w:val="19"/>
                <w:szCs w:val="19"/>
              </w:rPr>
              <w:t xml:space="preserve">Stock disponible en unidades. El SIM solo da inventario en dólares.</w:t>
            </w:r>
          </w:p>
        </w:tc>
      </w:tr>
      <w:tr>
        <w:tc>
          <w:tcPr>
            <w:tcW w:type="dxa" w:w="2808"/>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TRANSITO</w:t>
            </w:r>
          </w:p>
        </w:tc>
        <w:tc>
          <w:tcPr>
            <w:tcW w:type="dxa" w:w="6552"/>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Mercancía en camino, en unidades.</w:t>
            </w:r>
          </w:p>
        </w:tc>
      </w:tr>
      <w:tr>
        <w:tc>
          <w:tcPr>
            <w:tcW w:type="dxa" w:w="2808"/>
            <w:tcMar>
              <w:top w:type="dxa" w:w="70"/>
              <w:left w:type="dxa" w:w="110"/>
              <w:bottom w:type="dxa" w:w="70"/>
              <w:right w:type="dxa" w:w="110"/>
            </w:tcMar>
          </w:tcPr>
          <w:p>
            <w:pPr>
              <w:spacing w:after="0" w:line="250"/>
            </w:pPr>
            <w:r>
              <w:rPr>
                <w:rFonts w:ascii="Calibri" w:cs="Calibri" w:eastAsia="Calibri" w:hAnsi="Calibri"/>
                <w:sz w:val="19"/>
                <w:szCs w:val="19"/>
              </w:rPr>
              <w:t xml:space="preserve">Costo, PV, Margen, MARGEN FINAL</w:t>
            </w:r>
          </w:p>
        </w:tc>
        <w:tc>
          <w:tcPr>
            <w:tcW w:type="dxa" w:w="6552"/>
            <w:tcMar>
              <w:top w:type="dxa" w:w="70"/>
              <w:left w:type="dxa" w:w="110"/>
              <w:bottom w:type="dxa" w:w="70"/>
              <w:right w:type="dxa" w:w="110"/>
            </w:tcMar>
          </w:tcPr>
          <w:p>
            <w:pPr>
              <w:spacing w:after="0" w:line="250"/>
            </w:pPr>
            <w:r>
              <w:rPr>
                <w:rFonts w:ascii="Calibri" w:cs="Calibri" w:eastAsia="Calibri" w:hAnsi="Calibri"/>
                <w:sz w:val="19"/>
                <w:szCs w:val="19"/>
              </w:rPr>
              <w:t xml:space="preserve">Costos y precios por artículo.</w:t>
            </w:r>
          </w:p>
        </w:tc>
      </w:tr>
      <w:tr>
        <w:tc>
          <w:tcPr>
            <w:tcW w:type="dxa" w:w="2808"/>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ULT_COM</w:t>
            </w:r>
          </w:p>
        </w:tc>
        <w:tc>
          <w:tcPr>
            <w:tcW w:type="dxa" w:w="6552"/>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Fecha de última compra. Con su histórico se deduce la frecuencia de pedido.</w:t>
            </w:r>
          </w:p>
        </w:tc>
      </w:tr>
      <w:tr>
        <w:tc>
          <w:tcPr>
            <w:tcW w:type="dxa" w:w="2808"/>
            <w:tcMar>
              <w:top w:type="dxa" w:w="70"/>
              <w:left w:type="dxa" w:w="110"/>
              <w:bottom w:type="dxa" w:w="70"/>
              <w:right w:type="dxa" w:w="110"/>
            </w:tcMar>
          </w:tcPr>
          <w:p>
            <w:pPr>
              <w:spacing w:after="0" w:line="250"/>
            </w:pPr>
            <w:r>
              <w:rPr>
                <w:rFonts w:ascii="Calibri" w:cs="Calibri" w:eastAsia="Calibri" w:hAnsi="Calibri"/>
                <w:sz w:val="19"/>
                <w:szCs w:val="19"/>
              </w:rPr>
              <w:t xml:space="preserve">SUB CATEGORIAS</w:t>
            </w:r>
          </w:p>
        </w:tc>
        <w:tc>
          <w:tcPr>
            <w:tcW w:type="dxa" w:w="6552"/>
            <w:tcMar>
              <w:top w:type="dxa" w:w="70"/>
              <w:left w:type="dxa" w:w="110"/>
              <w:bottom w:type="dxa" w:w="70"/>
              <w:right w:type="dxa" w:w="110"/>
            </w:tcMar>
          </w:tcPr>
          <w:p>
            <w:pPr>
              <w:spacing w:after="0" w:line="250"/>
            </w:pPr>
            <w:r>
              <w:rPr>
                <w:rFonts w:ascii="Calibri" w:cs="Calibri" w:eastAsia="Calibri" w:hAnsi="Calibri"/>
                <w:sz w:val="19"/>
                <w:szCs w:val="19"/>
              </w:rPr>
              <w:t xml:space="preserve">El SIM solo tiene siete categorías; aquí hay subcategoría real.</w:t>
            </w:r>
          </w:p>
        </w:tc>
      </w:tr>
      <w:tr>
        <w:tc>
          <w:tcPr>
            <w:tcW w:type="dxa" w:w="2808"/>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REF PROVEEDOR</w:t>
            </w:r>
          </w:p>
        </w:tc>
        <w:tc>
          <w:tcPr>
            <w:tcW w:type="dxa" w:w="6552"/>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Referencia del proveedor.</w:t>
            </w:r>
          </w:p>
        </w:tc>
      </w:tr>
      <w:tr>
        <w:tc>
          <w:tcPr>
            <w:tcW w:type="dxa" w:w="2808"/>
            <w:tcMar>
              <w:top w:type="dxa" w:w="70"/>
              <w:left w:type="dxa" w:w="110"/>
              <w:bottom w:type="dxa" w:w="70"/>
              <w:right w:type="dxa" w:w="110"/>
            </w:tcMar>
          </w:tcPr>
          <w:p>
            <w:pPr>
              <w:spacing w:after="0" w:line="250"/>
            </w:pPr>
            <w:r>
              <w:rPr>
                <w:rFonts w:ascii="Calibri" w:cs="Calibri" w:eastAsia="Calibri" w:hAnsi="Calibri"/>
                <w:sz w:val="19"/>
                <w:szCs w:val="19"/>
              </w:rPr>
              <w:t xml:space="preserve">BDF</w:t>
            </w:r>
          </w:p>
        </w:tc>
        <w:tc>
          <w:tcPr>
            <w:tcW w:type="dxa" w:w="6552"/>
            <w:tcMar>
              <w:top w:type="dxa" w:w="70"/>
              <w:left w:type="dxa" w:w="110"/>
              <w:bottom w:type="dxa" w:w="70"/>
              <w:right w:type="dxa" w:w="110"/>
            </w:tcMar>
          </w:tcPr>
          <w:p>
            <w:pPr>
              <w:spacing w:after="0" w:line="250"/>
            </w:pPr>
            <w:r>
              <w:rPr>
                <w:rFonts w:ascii="Calibri" w:cs="Calibri" w:eastAsia="Calibri" w:hAnsi="Calibri"/>
                <w:sz w:val="19"/>
                <w:szCs w:val="19"/>
              </w:rPr>
              <w:t xml:space="preserve">Si el artículo está activo o descontinuado.</w:t>
            </w:r>
          </w:p>
        </w:tc>
      </w:tr>
    </w:tbl>
    <w:p>
      <w:pPr>
        <w:spacing w:after="0"/>
      </w:pPr>
      <w:r>
        <w:rPr>
          <w:sz w:val="14"/>
          <w:szCs w:val="14"/>
        </w:rPr>
        <w:t xml:space="preserve"/>
      </w:r>
    </w:p>
    <w:tbl>
      <w:tblPr>
        <w:tblW w:type="dxa" w:w="9360"/>
        <w:tblBorders>
          <w:top w:val="single" w:color="D6DCE1" w:sz="2"/>
          <w:left w:val="single" w:color="1F4E79" w:sz="18"/>
          <w:bottom w:val="single" w:color="D6DCE1" w:sz="2"/>
          <w:right w:val="single" w:color="D6DCE1" w:sz="2"/>
          <w:insideH w:val="single" w:color="D6DCE1" w:sz="2"/>
          <w:insideV w:val="single" w:color="D6DCE1" w:sz="2"/>
        </w:tblBorders>
      </w:tblPr>
      <w:tblGrid>
        <w:gridCol w:w="9360"/>
      </w:tblGrid>
      <w:tr>
        <w:tc>
          <w:tcPr>
            <w:tcW w:type="dxa" w:w="9360"/>
            <w:shd w:fill="F2F5F7" w:color="auto" w:val="clear"/>
            <w:tcMar>
              <w:top w:type="dxa" w:w="130"/>
              <w:left w:type="dxa" w:w="170"/>
              <w:bottom w:type="dxa" w:w="130"/>
              <w:right w:type="dxa" w:w="170"/>
            </w:tcMar>
          </w:tcPr>
          <w:p>
            <w:pPr>
              <w:spacing w:after="60"/>
            </w:pPr>
            <w:r>
              <w:rPr>
                <w:rFonts w:ascii="Calibri" w:cs="Calibri" w:eastAsia="Calibri" w:hAnsi="Calibri"/>
                <w:b/>
                <w:bCs/>
                <w:color w:val="1F4E79"/>
                <w:sz w:val="20"/>
                <w:szCs w:val="20"/>
              </w:rPr>
              <w:t xml:space="preserve">Por qué esto es imprescindible</w:t>
            </w:r>
          </w:p>
          <w:p>
            <w:pPr>
              <w:spacing w:after="0" w:line="260"/>
            </w:pPr>
            <w:r>
              <w:rPr>
                <w:rFonts w:ascii="Calibri" w:cs="Calibri" w:eastAsia="Calibri" w:hAnsi="Calibri"/>
                <w:sz w:val="20"/>
                <w:szCs w:val="20"/>
              </w:rPr>
              <w:t xml:space="preserve">El SIM está todo en dólares. Nadie pide dólares: se piden piezas. Sin las unidades del infocompras no existe el pedido sugerido.</w:t>
            </w:r>
          </w:p>
        </w:tc>
      </w:tr>
    </w:tbl>
    <w:p>
      <w:pPr>
        <w:spacing w:after="0"/>
      </w:pPr>
      <w:r>
        <w:rPr>
          <w:sz w:val="14"/>
          <w:szCs w:val="14"/>
        </w:rPr>
        <w:t xml:space="preserve"/>
      </w:r>
    </w:p>
    <w:p>
      <w:pPr>
        <w:spacing w:after="120" w:line="276"/>
      </w:pPr>
      <w:r>
        <w:rPr>
          <w:rFonts w:ascii="Calibri" w:cs="Calibri" w:eastAsia="Calibri" w:hAnsi="Calibri"/>
          <w:sz w:val="21"/>
          <w:szCs w:val="21"/>
        </w:rPr>
        <w:t xml:space="preserve">Otras hojas útiles del mismo archivo: PRESUPUESTO, con doce meses por marca; y DATA MODAyMEDIANA, con 5.485 filas de mediana y moda de cantidad por artículo, que sirve para redondear el pedido sugerido a cantidades que de verdad se venden.</w:t>
      </w:r>
    </w:p>
    <w:p>
      <w:r>
        <w:br w:type="page"/>
      </w:r>
    </w:p>
    <w:p>
      <w:pPr>
        <w:pStyle w:val="Heading1"/>
        <w:spacing w:after="160" w:before="360"/>
      </w:pPr>
      <w:r>
        <w:rPr>
          <w:rFonts w:ascii="Calibri" w:cs="Calibri" w:eastAsia="Calibri" w:hAnsi="Calibri"/>
          <w:b/>
          <w:bCs/>
          <w:color w:val="1F4E79"/>
          <w:sz w:val="30"/>
          <w:szCs w:val="30"/>
        </w:rPr>
        <w:t xml:space="preserve">6. Reglas de negocio y fórmulas</w:t>
      </w:r>
    </w:p>
    <w:p>
      <w:pPr>
        <w:pStyle w:val="Heading2"/>
        <w:spacing w:after="120" w:before="260"/>
      </w:pPr>
      <w:r>
        <w:rPr>
          <w:rFonts w:ascii="Calibri" w:cs="Calibri" w:eastAsia="Calibri" w:hAnsi="Calibri"/>
          <w:b/>
          <w:bCs/>
          <w:color w:val="1F4E79"/>
          <w:sz w:val="24"/>
          <w:szCs w:val="24"/>
        </w:rPr>
        <w:t xml:space="preserve">Lead time y cobertura</w:t>
      </w:r>
    </w:p>
    <w:p>
      <w:pPr>
        <w:spacing w:after="120" w:line="276"/>
      </w:pPr>
      <w:r>
        <w:rPr>
          <w:rFonts w:ascii="Calibri" w:cs="Calibri" w:eastAsia="Calibri" w:hAnsi="Calibri"/>
          <w:sz w:val="21"/>
          <w:szCs w:val="21"/>
        </w:rPr>
        <w:t xml:space="preserve">Para PCP, confirmado con el equipo de compras: se compra mensualmente y la mercancía llega a los 45 días.</w:t>
      </w:r>
    </w:p>
    <w:p>
      <w:pPr>
        <w:spacing w:after="0"/>
      </w:pPr>
      <w:r>
        <w:rPr>
          <w:sz w:val="14"/>
          <w:szCs w:val="14"/>
        </w:rPr>
        <w:t xml:space="preserve"/>
      </w:r>
    </w:p>
    <w:tbl>
      <w:tblPr>
        <w:tblW w:type="dxa" w:w="9360"/>
        <w:tblBorders>
          <w:top w:val="single" w:color="D6DCE1" w:sz="2"/>
          <w:left w:val="single" w:color="D6DCE1" w:sz="2"/>
          <w:bottom w:val="single" w:color="D6DCE1" w:sz="2"/>
          <w:right w:val="single" w:color="D6DCE1" w:sz="2"/>
          <w:insideH w:val="single" w:color="D6DCE1" w:sz="2"/>
          <w:insideV w:val="single" w:color="D6DCE1" w:sz="2"/>
        </w:tblBorders>
      </w:tblPr>
      <w:tblGrid>
        <w:gridCol w:w="6552"/>
        <w:gridCol w:w="2808"/>
      </w:tblGrid>
      <w:tr>
        <w:trPr>
          <w:tblHeader/>
        </w:trPr>
        <w:tc>
          <w:tcPr>
            <w:tcW w:type="dxa" w:w="6552"/>
            <w:shd w:fill="1F4E79"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Componente</w:t>
            </w:r>
          </w:p>
        </w:tc>
        <w:tc>
          <w:tcPr>
            <w:tcW w:type="dxa" w:w="2808"/>
            <w:shd w:fill="1F4E79"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Meses</w:t>
            </w:r>
          </w:p>
        </w:tc>
      </w:tr>
      <w:tr>
        <w:tc>
          <w:tcPr>
            <w:tcW w:type="dxa" w:w="6552"/>
            <w:tcMar>
              <w:top w:type="dxa" w:w="70"/>
              <w:left w:type="dxa" w:w="110"/>
              <w:bottom w:type="dxa" w:w="70"/>
              <w:right w:type="dxa" w:w="110"/>
            </w:tcMar>
          </w:tcPr>
          <w:p>
            <w:pPr>
              <w:spacing w:after="0" w:line="250"/>
            </w:pPr>
            <w:r>
              <w:rPr>
                <w:rFonts w:ascii="Calibri" w:cs="Calibri" w:eastAsia="Calibri" w:hAnsi="Calibri"/>
                <w:sz w:val="19"/>
                <w:szCs w:val="19"/>
              </w:rPr>
              <w:t xml:space="preserve">Tránsito (45 días)</w:t>
            </w:r>
          </w:p>
        </w:tc>
        <w:tc>
          <w:tcPr>
            <w:tcW w:type="dxa" w:w="2808"/>
            <w:tcMar>
              <w:top w:type="dxa" w:w="70"/>
              <w:left w:type="dxa" w:w="110"/>
              <w:bottom w:type="dxa" w:w="70"/>
              <w:right w:type="dxa" w:w="110"/>
            </w:tcMar>
          </w:tcPr>
          <w:p>
            <w:pPr>
              <w:spacing w:after="0" w:line="250"/>
            </w:pPr>
            <w:r>
              <w:rPr>
                <w:rFonts w:ascii="Calibri" w:cs="Calibri" w:eastAsia="Calibri" w:hAnsi="Calibri"/>
                <w:sz w:val="19"/>
                <w:szCs w:val="19"/>
              </w:rPr>
              <w:t xml:space="preserve">1,5</w:t>
            </w:r>
          </w:p>
        </w:tc>
      </w:tr>
      <w:tr>
        <w:tc>
          <w:tcPr>
            <w:tcW w:type="dxa" w:w="6552"/>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Ciclo de compra (mensual)</w:t>
            </w:r>
          </w:p>
        </w:tc>
        <w:tc>
          <w:tcPr>
            <w:tcW w:type="dxa" w:w="2808"/>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1,0</w:t>
            </w:r>
          </w:p>
        </w:tc>
      </w:tr>
      <w:tr>
        <w:tc>
          <w:tcPr>
            <w:tcW w:type="dxa" w:w="6552"/>
            <w:tcMar>
              <w:top w:type="dxa" w:w="70"/>
              <w:left w:type="dxa" w:w="110"/>
              <w:bottom w:type="dxa" w:w="70"/>
              <w:right w:type="dxa" w:w="110"/>
            </w:tcMar>
          </w:tcPr>
          <w:p>
            <w:pPr>
              <w:spacing w:after="0" w:line="250"/>
            </w:pPr>
            <w:r>
              <w:rPr>
                <w:rFonts w:ascii="Calibri" w:cs="Calibri" w:eastAsia="Calibri" w:hAnsi="Calibri"/>
                <w:sz w:val="19"/>
                <w:szCs w:val="19"/>
              </w:rPr>
              <w:t xml:space="preserve">Stock de seguridad</w:t>
            </w:r>
          </w:p>
        </w:tc>
        <w:tc>
          <w:tcPr>
            <w:tcW w:type="dxa" w:w="2808"/>
            <w:tcMar>
              <w:top w:type="dxa" w:w="70"/>
              <w:left w:type="dxa" w:w="110"/>
              <w:bottom w:type="dxa" w:w="70"/>
              <w:right w:type="dxa" w:w="110"/>
            </w:tcMar>
          </w:tcPr>
          <w:p>
            <w:pPr>
              <w:spacing w:after="0" w:line="250"/>
            </w:pPr>
            <w:r>
              <w:rPr>
                <w:rFonts w:ascii="Calibri" w:cs="Calibri" w:eastAsia="Calibri" w:hAnsi="Calibri"/>
                <w:sz w:val="19"/>
                <w:szCs w:val="19"/>
              </w:rPr>
              <w:t xml:space="preserve">0,5</w:t>
            </w:r>
          </w:p>
        </w:tc>
      </w:tr>
      <w:tr>
        <w:tc>
          <w:tcPr>
            <w:tcW w:type="dxa" w:w="6552"/>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Cobertura objetivo</w:t>
            </w:r>
          </w:p>
        </w:tc>
        <w:tc>
          <w:tcPr>
            <w:tcW w:type="dxa" w:w="2808"/>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3,0</w:t>
            </w:r>
          </w:p>
        </w:tc>
      </w:tr>
    </w:tbl>
    <w:p>
      <w:pPr>
        <w:spacing w:after="0"/>
      </w:pPr>
      <w:r>
        <w:rPr>
          <w:sz w:val="14"/>
          <w:szCs w:val="14"/>
        </w:rPr>
        <w:t xml:space="preserve"/>
      </w:r>
    </w:p>
    <w:p>
      <w:pPr>
        <w:spacing w:after="120" w:line="276"/>
      </w:pPr>
      <w:r>
        <w:rPr>
          <w:rFonts w:ascii="Calibri" w:cs="Calibri" w:eastAsia="Calibri" w:hAnsi="Calibri"/>
          <w:sz w:val="21"/>
          <w:szCs w:val="21"/>
        </w:rPr>
        <w:t xml:space="preserve">Estos parámetros varían por marca y deben ser editables desde la interfaz, no estar escritos en el código.</w:t>
      </w:r>
    </w:p>
    <w:p>
      <w:pPr>
        <w:pStyle w:val="Heading2"/>
        <w:spacing w:after="120" w:before="260"/>
      </w:pPr>
      <w:r>
        <w:rPr>
          <w:rFonts w:ascii="Calibri" w:cs="Calibri" w:eastAsia="Calibri" w:hAnsi="Calibri"/>
          <w:b/>
          <w:bCs/>
          <w:color w:val="1F4E79"/>
          <w:sz w:val="24"/>
          <w:szCs w:val="24"/>
        </w:rPr>
        <w:t xml:space="preserve">Pedido sugerido</w:t>
      </w:r>
    </w:p>
    <w:p>
      <w:pPr>
        <w:spacing w:after="120" w:line="276"/>
      </w:pPr>
      <w:r>
        <w:rPr>
          <w:rFonts w:ascii="Calibri" w:cs="Calibri" w:eastAsia="Calibri" w:hAnsi="Calibri"/>
          <w:b/>
          <w:bCs/>
          <w:i w:val="false"/>
          <w:iCs w:val="false"/>
          <w:sz w:val="22"/>
          <w:szCs w:val="22"/>
        </w:rPr>
        <w:t xml:space="preserve">sugerido = max(0,  demanda_pronosticada × cobertura_objetivo − stock − tránsito)</w:t>
      </w:r>
    </w:p>
    <w:p>
      <w:pPr>
        <w:spacing w:after="120" w:line="276"/>
      </w:pPr>
      <w:r>
        <w:rPr>
          <w:rFonts w:ascii="Calibri" w:cs="Calibri" w:eastAsia="Calibri" w:hAnsi="Calibri"/>
          <w:sz w:val="21"/>
          <w:szCs w:val="21"/>
        </w:rPr>
        <w:t xml:space="preserve">La demanda va en unidades, no en dólares. Y se calcula sin EPA, por el motivo que se explica en la sección siguiente.</w:t>
      </w:r>
    </w:p>
    <w:p>
      <w:pPr>
        <w:pStyle w:val="Heading2"/>
        <w:spacing w:after="120" w:before="260"/>
      </w:pPr>
      <w:r>
        <w:rPr>
          <w:rFonts w:ascii="Calibri" w:cs="Calibri" w:eastAsia="Calibri" w:hAnsi="Calibri"/>
          <w:b/>
          <w:bCs/>
          <w:color w:val="1F4E79"/>
          <w:sz w:val="24"/>
          <w:szCs w:val="24"/>
        </w:rPr>
        <w:t xml:space="preserve">Pronóstico adaptado a la historia disponible</w:t>
      </w:r>
    </w:p>
    <w:p>
      <w:pPr>
        <w:spacing w:after="120" w:line="276"/>
      </w:pPr>
      <w:r>
        <w:rPr>
          <w:rFonts w:ascii="Calibri" w:cs="Calibri" w:eastAsia="Calibri" w:hAnsi="Calibri"/>
          <w:sz w:val="21"/>
          <w:szCs w:val="21"/>
        </w:rPr>
        <w:t xml:space="preserve">Cada marca tiene distinta profundidad de historia: algunas llevan apenas tres meses en Febeca. El motor elige el método solo y siempre declara cuál usó y con cuántos meses.</w:t>
      </w:r>
    </w:p>
    <w:p>
      <w:pPr>
        <w:spacing w:after="0"/>
      </w:pPr>
      <w:r>
        <w:rPr>
          <w:sz w:val="14"/>
          <w:szCs w:val="14"/>
        </w:rPr>
        <w:t xml:space="preserve"/>
      </w:r>
    </w:p>
    <w:tbl>
      <w:tblPr>
        <w:tblW w:type="dxa" w:w="9360"/>
        <w:tblBorders>
          <w:top w:val="single" w:color="D6DCE1" w:sz="2"/>
          <w:left w:val="single" w:color="D6DCE1" w:sz="2"/>
          <w:bottom w:val="single" w:color="D6DCE1" w:sz="2"/>
          <w:right w:val="single" w:color="D6DCE1" w:sz="2"/>
          <w:insideH w:val="single" w:color="D6DCE1" w:sz="2"/>
          <w:insideV w:val="single" w:color="D6DCE1" w:sz="2"/>
        </w:tblBorders>
      </w:tblPr>
      <w:tblGrid>
        <w:gridCol w:w="2808"/>
        <w:gridCol w:w="6552"/>
      </w:tblGrid>
      <w:tr>
        <w:trPr>
          <w:tblHeader/>
        </w:trPr>
        <w:tc>
          <w:tcPr>
            <w:tcW w:type="dxa" w:w="2808"/>
            <w:shd w:fill="1F4E79"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Historia disponible</w:t>
            </w:r>
          </w:p>
        </w:tc>
        <w:tc>
          <w:tcPr>
            <w:tcW w:type="dxa" w:w="6552"/>
            <w:shd w:fill="1F4E79"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Método</w:t>
            </w:r>
          </w:p>
        </w:tc>
      </w:tr>
      <w:tr>
        <w:tc>
          <w:tcPr>
            <w:tcW w:type="dxa" w:w="2808"/>
            <w:tcMar>
              <w:top w:type="dxa" w:w="70"/>
              <w:left w:type="dxa" w:w="110"/>
              <w:bottom w:type="dxa" w:w="70"/>
              <w:right w:type="dxa" w:w="110"/>
            </w:tcMar>
          </w:tcPr>
          <w:p>
            <w:pPr>
              <w:spacing w:after="0" w:line="250"/>
            </w:pPr>
            <w:r>
              <w:rPr>
                <w:rFonts w:ascii="Calibri" w:cs="Calibri" w:eastAsia="Calibri" w:hAnsi="Calibri"/>
                <w:sz w:val="19"/>
                <w:szCs w:val="19"/>
              </w:rPr>
              <w:t xml:space="preserve">24 meses o más</w:t>
            </w:r>
          </w:p>
        </w:tc>
        <w:tc>
          <w:tcPr>
            <w:tcW w:type="dxa" w:w="6552"/>
            <w:tcMar>
              <w:top w:type="dxa" w:w="70"/>
              <w:left w:type="dxa" w:w="110"/>
              <w:bottom w:type="dxa" w:w="70"/>
              <w:right w:type="dxa" w:w="110"/>
            </w:tcMar>
          </w:tcPr>
          <w:p>
            <w:pPr>
              <w:spacing w:after="0" w:line="250"/>
            </w:pPr>
            <w:r>
              <w:rPr>
                <w:rFonts w:ascii="Calibri" w:cs="Calibri" w:eastAsia="Calibri" w:hAnsi="Calibri"/>
                <w:sz w:val="19"/>
                <w:szCs w:val="19"/>
              </w:rPr>
              <w:t xml:space="preserve">Holt-Winters aditivo, estacionalidad de 12</w:t>
            </w:r>
          </w:p>
        </w:tc>
      </w:tr>
      <w:tr>
        <w:tc>
          <w:tcPr>
            <w:tcW w:type="dxa" w:w="2808"/>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12 a 23 meses</w:t>
            </w:r>
          </w:p>
        </w:tc>
        <w:tc>
          <w:tcPr>
            <w:tcW w:type="dxa" w:w="6552"/>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Tendencia más índice estacional de la categoría</w:t>
            </w:r>
          </w:p>
        </w:tc>
      </w:tr>
      <w:tr>
        <w:tc>
          <w:tcPr>
            <w:tcW w:type="dxa" w:w="2808"/>
            <w:tcMar>
              <w:top w:type="dxa" w:w="70"/>
              <w:left w:type="dxa" w:w="110"/>
              <w:bottom w:type="dxa" w:w="70"/>
              <w:right w:type="dxa" w:w="110"/>
            </w:tcMar>
          </w:tcPr>
          <w:p>
            <w:pPr>
              <w:spacing w:after="0" w:line="250"/>
            </w:pPr>
            <w:r>
              <w:rPr>
                <w:rFonts w:ascii="Calibri" w:cs="Calibri" w:eastAsia="Calibri" w:hAnsi="Calibri"/>
                <w:sz w:val="19"/>
                <w:szCs w:val="19"/>
              </w:rPr>
              <w:t xml:space="preserve">3 a 11 meses</w:t>
            </w:r>
          </w:p>
        </w:tc>
        <w:tc>
          <w:tcPr>
            <w:tcW w:type="dxa" w:w="6552"/>
            <w:tcMar>
              <w:top w:type="dxa" w:w="70"/>
              <w:left w:type="dxa" w:w="110"/>
              <w:bottom w:type="dxa" w:w="70"/>
              <w:right w:type="dxa" w:w="110"/>
            </w:tcMar>
          </w:tcPr>
          <w:p>
            <w:pPr>
              <w:spacing w:after="0" w:line="250"/>
            </w:pPr>
            <w:r>
              <w:rPr>
                <w:rFonts w:ascii="Calibri" w:cs="Calibri" w:eastAsia="Calibri" w:hAnsi="Calibri"/>
                <w:sz w:val="19"/>
                <w:szCs w:val="19"/>
              </w:rPr>
              <w:t xml:space="preserve">Promedio móvil ponderado, sin estacionalidad</w:t>
            </w:r>
          </w:p>
        </w:tc>
      </w:tr>
      <w:tr>
        <w:tc>
          <w:tcPr>
            <w:tcW w:type="dxa" w:w="2808"/>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Menos de 3 meses</w:t>
            </w:r>
          </w:p>
        </w:tc>
        <w:tc>
          <w:tcPr>
            <w:tcW w:type="dxa" w:w="6552"/>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No pronostica. Muestra «historia insuficiente»</w:t>
            </w:r>
          </w:p>
        </w:tc>
      </w:tr>
    </w:tbl>
    <w:p>
      <w:pPr>
        <w:spacing w:after="0"/>
      </w:pPr>
      <w:r>
        <w:rPr>
          <w:sz w:val="14"/>
          <w:szCs w:val="14"/>
        </w:rPr>
        <w:t xml:space="preserve"/>
      </w:r>
    </w:p>
    <w:p>
      <w:pPr>
        <w:spacing w:after="120" w:line="276"/>
      </w:pPr>
      <w:r>
        <w:rPr>
          <w:rFonts w:ascii="Calibri" w:cs="Calibri" w:eastAsia="Calibri" w:hAnsi="Calibri"/>
          <w:sz w:val="21"/>
          <w:szCs w:val="21"/>
        </w:rPr>
        <w:t xml:space="preserve">Holt-Winters se implementa en unas 60 líneas de JavaScript, con búsqueda en grilla para optimizar alfa, beta y gamma. Con 38 puntos corre en milisegundos. Conviene añadir validación hacia atrás: entrenar con 30 meses, predecir los últimos 6 y mostrar el error real del modelo. Sin eso nadie confía en el número.</w:t>
      </w:r>
    </w:p>
    <w:p>
      <w:pPr>
        <w:pStyle w:val="Heading2"/>
        <w:spacing w:after="120" w:before="260"/>
      </w:pPr>
      <w:r>
        <w:rPr>
          <w:rFonts w:ascii="Calibri" w:cs="Calibri" w:eastAsia="Calibri" w:hAnsi="Calibri"/>
          <w:b/>
          <w:bCs/>
          <w:color w:val="1F4E79"/>
          <w:sz w:val="24"/>
          <w:szCs w:val="24"/>
        </w:rPr>
        <w:t xml:space="preserve">Toneladas</w:t>
      </w:r>
    </w:p>
    <w:p>
      <w:pPr>
        <w:spacing w:after="120" w:line="276"/>
      </w:pPr>
      <w:r>
        <w:rPr>
          <w:rFonts w:ascii="Calibri" w:cs="Calibri" w:eastAsia="Calibri" w:hAnsi="Calibri"/>
          <w:sz w:val="21"/>
          <w:szCs w:val="21"/>
        </w:rPr>
        <w:t xml:space="preserve">Solo hay un mes de data en toneladas, y no es problema: el peso por unidad es una constante física. En PCP son 210 toneladas entre 87.863 unidades, o sea 2,39 kg por unidad. Con ese factor se calcula el peso de cualquier pedido sugerido. Lo único imposible es graficar toneladas a lo largo del tiempo, que tampoco es lo que pidieron.</w:t>
      </w:r>
    </w:p>
    <w:p>
      <w:r>
        <w:br w:type="page"/>
      </w:r>
    </w:p>
    <w:p>
      <w:pPr>
        <w:pStyle w:val="Heading1"/>
        <w:spacing w:after="160" w:before="360"/>
      </w:pPr>
      <w:r>
        <w:rPr>
          <w:rFonts w:ascii="Calibri" w:cs="Calibri" w:eastAsia="Calibri" w:hAnsi="Calibri"/>
          <w:b/>
          <w:bCs/>
          <w:color w:val="1F4E79"/>
          <w:sz w:val="30"/>
          <w:szCs w:val="30"/>
        </w:rPr>
        <w:t xml:space="preserve">7. Hallazgos importantes sobre los datos</w:t>
      </w:r>
    </w:p>
    <w:p>
      <w:pPr>
        <w:pStyle w:val="Heading2"/>
        <w:spacing w:after="120" w:before="260"/>
      </w:pPr>
      <w:r>
        <w:rPr>
          <w:rFonts w:ascii="Calibri" w:cs="Calibri" w:eastAsia="Calibri" w:hAnsi="Calibri"/>
          <w:b/>
          <w:bCs/>
          <w:color w:val="1F4E79"/>
          <w:sz w:val="24"/>
          <w:szCs w:val="24"/>
        </w:rPr>
        <w:t xml:space="preserve">EPA distorsiona el pronóstico, no solo los rankings</w:t>
      </w:r>
    </w:p>
    <w:p>
      <w:pPr>
        <w:spacing w:after="120" w:line="276"/>
      </w:pPr>
      <w:r>
        <w:rPr>
          <w:rFonts w:ascii="Calibri" w:cs="Calibri" w:eastAsia="Calibri" w:hAnsi="Calibri"/>
          <w:sz w:val="21"/>
          <w:szCs w:val="21"/>
        </w:rPr>
        <w:t xml:space="preserve">EPA pesa el 19,7% de la marca en agosto: 28.716 dólares de 145.696. Pero lo grave no es el tamaño, es el patrón de compra:</w:t>
      </w:r>
    </w:p>
    <w:p>
      <w:pPr>
        <w:spacing w:after="0"/>
      </w:pPr>
      <w:r>
        <w:rPr>
          <w:sz w:val="14"/>
          <w:szCs w:val="14"/>
        </w:rPr>
        <w:t xml:space="preserve"/>
      </w:r>
    </w:p>
    <w:tbl>
      <w:tblPr>
        <w:tblW w:type="dxa" w:w="9360"/>
        <w:tblBorders>
          <w:top w:val="single" w:color="D6DCE1" w:sz="2"/>
          <w:left w:val="single" w:color="D6DCE1" w:sz="2"/>
          <w:bottom w:val="single" w:color="D6DCE1" w:sz="2"/>
          <w:right w:val="single" w:color="D6DCE1" w:sz="2"/>
          <w:insideH w:val="single" w:color="D6DCE1" w:sz="2"/>
          <w:insideV w:val="single" w:color="D6DCE1" w:sz="2"/>
        </w:tblBorders>
      </w:tblPr>
      <w:tblGrid>
        <w:gridCol w:w="851"/>
        <w:gridCol w:w="851"/>
        <w:gridCol w:w="851"/>
        <w:gridCol w:w="851"/>
        <w:gridCol w:w="851"/>
        <w:gridCol w:w="851"/>
        <w:gridCol w:w="851"/>
        <w:gridCol w:w="851"/>
        <w:gridCol w:w="851"/>
        <w:gridCol w:w="851"/>
        <w:gridCol w:w="850"/>
      </w:tblGrid>
      <w:tr>
        <w:trPr>
          <w:tblHeader/>
        </w:trPr>
        <w:tc>
          <w:tcPr>
            <w:tcW w:type="dxa" w:w="851"/>
            <w:shd w:fill="1F4E79"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oct 25</w:t>
            </w:r>
          </w:p>
        </w:tc>
        <w:tc>
          <w:tcPr>
            <w:tcW w:type="dxa" w:w="851"/>
            <w:shd w:fill="1F4E79"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nov 25</w:t>
            </w:r>
          </w:p>
        </w:tc>
        <w:tc>
          <w:tcPr>
            <w:tcW w:type="dxa" w:w="851"/>
            <w:shd w:fill="1F4E79"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dic 25</w:t>
            </w:r>
          </w:p>
        </w:tc>
        <w:tc>
          <w:tcPr>
            <w:tcW w:type="dxa" w:w="851"/>
            <w:shd w:fill="1F4E79"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ene 26</w:t>
            </w:r>
          </w:p>
        </w:tc>
        <w:tc>
          <w:tcPr>
            <w:tcW w:type="dxa" w:w="851"/>
            <w:shd w:fill="1F4E79"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feb 26</w:t>
            </w:r>
          </w:p>
        </w:tc>
        <w:tc>
          <w:tcPr>
            <w:tcW w:type="dxa" w:w="851"/>
            <w:shd w:fill="1F4E79"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mar 26</w:t>
            </w:r>
          </w:p>
        </w:tc>
        <w:tc>
          <w:tcPr>
            <w:tcW w:type="dxa" w:w="851"/>
            <w:shd w:fill="1F4E79"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abr 26</w:t>
            </w:r>
          </w:p>
        </w:tc>
        <w:tc>
          <w:tcPr>
            <w:tcW w:type="dxa" w:w="851"/>
            <w:shd w:fill="1F4E79"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may 26</w:t>
            </w:r>
          </w:p>
        </w:tc>
        <w:tc>
          <w:tcPr>
            <w:tcW w:type="dxa" w:w="851"/>
            <w:shd w:fill="1F4E79"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jun 26</w:t>
            </w:r>
          </w:p>
        </w:tc>
        <w:tc>
          <w:tcPr>
            <w:tcW w:type="dxa" w:w="851"/>
            <w:shd w:fill="1F4E79"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jul 26</w:t>
            </w:r>
          </w:p>
        </w:tc>
        <w:tc>
          <w:tcPr>
            <w:tcW w:type="dxa" w:w="850"/>
            <w:shd w:fill="1F4E79"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ago 26</w:t>
            </w:r>
          </w:p>
        </w:tc>
      </w:tr>
      <w:tr>
        <w:tc>
          <w:tcPr>
            <w:tcW w:type="dxa" w:w="851"/>
            <w:tcMar>
              <w:top w:type="dxa" w:w="70"/>
              <w:left w:type="dxa" w:w="110"/>
              <w:bottom w:type="dxa" w:w="70"/>
              <w:right w:type="dxa" w:w="110"/>
            </w:tcMar>
          </w:tcPr>
          <w:p>
            <w:pPr>
              <w:spacing w:after="0" w:line="250"/>
            </w:pPr>
            <w:r>
              <w:rPr>
                <w:rFonts w:ascii="Calibri" w:cs="Calibri" w:eastAsia="Calibri" w:hAnsi="Calibri"/>
                <w:sz w:val="19"/>
                <w:szCs w:val="19"/>
              </w:rPr>
              <w:t xml:space="preserve">5,5</w:t>
            </w:r>
          </w:p>
        </w:tc>
        <w:tc>
          <w:tcPr>
            <w:tcW w:type="dxa" w:w="851"/>
            <w:tcMar>
              <w:top w:type="dxa" w:w="70"/>
              <w:left w:type="dxa" w:w="110"/>
              <w:bottom w:type="dxa" w:w="70"/>
              <w:right w:type="dxa" w:w="110"/>
            </w:tcMar>
          </w:tcPr>
          <w:p>
            <w:pPr>
              <w:spacing w:after="0" w:line="250"/>
            </w:pPr>
            <w:r>
              <w:rPr>
                <w:rFonts w:ascii="Calibri" w:cs="Calibri" w:eastAsia="Calibri" w:hAnsi="Calibri"/>
                <w:sz w:val="19"/>
                <w:szCs w:val="19"/>
              </w:rPr>
              <w:t xml:space="preserve">50,5</w:t>
            </w:r>
          </w:p>
        </w:tc>
        <w:tc>
          <w:tcPr>
            <w:tcW w:type="dxa" w:w="851"/>
            <w:tcMar>
              <w:top w:type="dxa" w:w="70"/>
              <w:left w:type="dxa" w:w="110"/>
              <w:bottom w:type="dxa" w:w="70"/>
              <w:right w:type="dxa" w:w="110"/>
            </w:tcMar>
          </w:tcPr>
          <w:p>
            <w:pPr>
              <w:spacing w:after="0" w:line="250"/>
            </w:pPr>
            <w:r>
              <w:rPr>
                <w:rFonts w:ascii="Calibri" w:cs="Calibri" w:eastAsia="Calibri" w:hAnsi="Calibri"/>
                <w:sz w:val="19"/>
                <w:szCs w:val="19"/>
              </w:rPr>
              <w:t xml:space="preserve">0</w:t>
            </w:r>
          </w:p>
        </w:tc>
        <w:tc>
          <w:tcPr>
            <w:tcW w:type="dxa" w:w="851"/>
            <w:tcMar>
              <w:top w:type="dxa" w:w="70"/>
              <w:left w:type="dxa" w:w="110"/>
              <w:bottom w:type="dxa" w:w="70"/>
              <w:right w:type="dxa" w:w="110"/>
            </w:tcMar>
          </w:tcPr>
          <w:p>
            <w:pPr>
              <w:spacing w:after="0" w:line="250"/>
            </w:pPr>
            <w:r>
              <w:rPr>
                <w:rFonts w:ascii="Calibri" w:cs="Calibri" w:eastAsia="Calibri" w:hAnsi="Calibri"/>
                <w:sz w:val="19"/>
                <w:szCs w:val="19"/>
              </w:rPr>
              <w:t xml:space="preserve">23,9</w:t>
            </w:r>
          </w:p>
        </w:tc>
        <w:tc>
          <w:tcPr>
            <w:tcW w:type="dxa" w:w="851"/>
            <w:tcMar>
              <w:top w:type="dxa" w:w="70"/>
              <w:left w:type="dxa" w:w="110"/>
              <w:bottom w:type="dxa" w:w="70"/>
              <w:right w:type="dxa" w:w="110"/>
            </w:tcMar>
          </w:tcPr>
          <w:p>
            <w:pPr>
              <w:spacing w:after="0" w:line="250"/>
            </w:pPr>
            <w:r>
              <w:rPr>
                <w:rFonts w:ascii="Calibri" w:cs="Calibri" w:eastAsia="Calibri" w:hAnsi="Calibri"/>
                <w:sz w:val="19"/>
                <w:szCs w:val="19"/>
              </w:rPr>
              <w:t xml:space="preserve">24,1</w:t>
            </w:r>
          </w:p>
        </w:tc>
        <w:tc>
          <w:tcPr>
            <w:tcW w:type="dxa" w:w="851"/>
            <w:tcMar>
              <w:top w:type="dxa" w:w="70"/>
              <w:left w:type="dxa" w:w="110"/>
              <w:bottom w:type="dxa" w:w="70"/>
              <w:right w:type="dxa" w:w="110"/>
            </w:tcMar>
          </w:tcPr>
          <w:p>
            <w:pPr>
              <w:spacing w:after="0" w:line="250"/>
            </w:pPr>
            <w:r>
              <w:rPr>
                <w:rFonts w:ascii="Calibri" w:cs="Calibri" w:eastAsia="Calibri" w:hAnsi="Calibri"/>
                <w:sz w:val="19"/>
                <w:szCs w:val="19"/>
              </w:rPr>
              <w:t xml:space="preserve">0</w:t>
            </w:r>
          </w:p>
        </w:tc>
        <w:tc>
          <w:tcPr>
            <w:tcW w:type="dxa" w:w="851"/>
            <w:tcMar>
              <w:top w:type="dxa" w:w="70"/>
              <w:left w:type="dxa" w:w="110"/>
              <w:bottom w:type="dxa" w:w="70"/>
              <w:right w:type="dxa" w:w="110"/>
            </w:tcMar>
          </w:tcPr>
          <w:p>
            <w:pPr>
              <w:spacing w:after="0" w:line="250"/>
            </w:pPr>
            <w:r>
              <w:rPr>
                <w:rFonts w:ascii="Calibri" w:cs="Calibri" w:eastAsia="Calibri" w:hAnsi="Calibri"/>
                <w:sz w:val="19"/>
                <w:szCs w:val="19"/>
              </w:rPr>
              <w:t xml:space="preserve">0</w:t>
            </w:r>
          </w:p>
        </w:tc>
        <w:tc>
          <w:tcPr>
            <w:tcW w:type="dxa" w:w="851"/>
            <w:tcMar>
              <w:top w:type="dxa" w:w="70"/>
              <w:left w:type="dxa" w:w="110"/>
              <w:bottom w:type="dxa" w:w="70"/>
              <w:right w:type="dxa" w:w="110"/>
            </w:tcMar>
          </w:tcPr>
          <w:p>
            <w:pPr>
              <w:spacing w:after="0" w:line="250"/>
            </w:pPr>
            <w:r>
              <w:rPr>
                <w:rFonts w:ascii="Calibri" w:cs="Calibri" w:eastAsia="Calibri" w:hAnsi="Calibri"/>
                <w:sz w:val="19"/>
                <w:szCs w:val="19"/>
              </w:rPr>
              <w:t xml:space="preserve">10,5</w:t>
            </w:r>
          </w:p>
        </w:tc>
        <w:tc>
          <w:tcPr>
            <w:tcW w:type="dxa" w:w="851"/>
            <w:tcMar>
              <w:top w:type="dxa" w:w="70"/>
              <w:left w:type="dxa" w:w="110"/>
              <w:bottom w:type="dxa" w:w="70"/>
              <w:right w:type="dxa" w:w="110"/>
            </w:tcMar>
          </w:tcPr>
          <w:p>
            <w:pPr>
              <w:spacing w:after="0" w:line="250"/>
            </w:pPr>
            <w:r>
              <w:rPr>
                <w:rFonts w:ascii="Calibri" w:cs="Calibri" w:eastAsia="Calibri" w:hAnsi="Calibri"/>
                <w:sz w:val="19"/>
                <w:szCs w:val="19"/>
              </w:rPr>
              <w:t xml:space="preserve">45,0</w:t>
            </w:r>
          </w:p>
        </w:tc>
        <w:tc>
          <w:tcPr>
            <w:tcW w:type="dxa" w:w="851"/>
            <w:tcMar>
              <w:top w:type="dxa" w:w="70"/>
              <w:left w:type="dxa" w:w="110"/>
              <w:bottom w:type="dxa" w:w="70"/>
              <w:right w:type="dxa" w:w="110"/>
            </w:tcMar>
          </w:tcPr>
          <w:p>
            <w:pPr>
              <w:spacing w:after="0" w:line="250"/>
            </w:pPr>
            <w:r>
              <w:rPr>
                <w:rFonts w:ascii="Calibri" w:cs="Calibri" w:eastAsia="Calibri" w:hAnsi="Calibri"/>
                <w:sz w:val="19"/>
                <w:szCs w:val="19"/>
              </w:rPr>
              <w:t xml:space="preserve">28,8</w:t>
            </w:r>
          </w:p>
        </w:tc>
        <w:tc>
          <w:tcPr>
            <w:tcW w:type="dxa" w:w="850"/>
            <w:tcMar>
              <w:top w:type="dxa" w:w="70"/>
              <w:left w:type="dxa" w:w="110"/>
              <w:bottom w:type="dxa" w:w="70"/>
              <w:right w:type="dxa" w:w="110"/>
            </w:tcMar>
          </w:tcPr>
          <w:p>
            <w:pPr>
              <w:spacing w:after="0" w:line="250"/>
            </w:pPr>
            <w:r>
              <w:rPr>
                <w:rFonts w:ascii="Calibri" w:cs="Calibri" w:eastAsia="Calibri" w:hAnsi="Calibri"/>
                <w:sz w:val="19"/>
                <w:szCs w:val="19"/>
              </w:rPr>
              <w:t xml:space="preserve">28,7</w:t>
            </w:r>
          </w:p>
        </w:tc>
      </w:tr>
    </w:tbl>
    <w:p>
      <w:pPr>
        <w:spacing w:after="120" w:line="276"/>
      </w:pPr>
      <w:r>
        <w:rPr>
          <w:rFonts w:ascii="Calibri" w:cs="Calibri" w:eastAsia="Calibri" w:hAnsi="Calibri"/>
          <w:i/>
          <w:iCs/>
          <w:color w:val="5A6B75"/>
          <w:sz w:val="18"/>
          <w:szCs w:val="18"/>
        </w:rPr>
        <w:t xml:space="preserve">(en miles de dólares)</w:t>
      </w:r>
    </w:p>
    <w:p>
      <w:pPr>
        <w:spacing w:after="0"/>
      </w:pPr>
      <w:r>
        <w:rPr>
          <w:sz w:val="14"/>
          <w:szCs w:val="14"/>
        </w:rPr>
        <w:t xml:space="preserve"/>
      </w:r>
    </w:p>
    <w:p>
      <w:pPr>
        <w:spacing w:after="120" w:line="276"/>
      </w:pPr>
      <w:r>
        <w:rPr>
          <w:rFonts w:ascii="Calibri" w:cs="Calibri" w:eastAsia="Calibri" w:hAnsi="Calibri"/>
          <w:sz w:val="21"/>
          <w:szCs w:val="21"/>
        </w:rPr>
        <w:t xml:space="preserve">EPA compra a saltos: tres meses en cero y después cincuenta mil dólares de golpe. El modelo de pronóstico lee esos picos como estacionalidad y proyecta demanda que no existe.</w:t>
      </w:r>
    </w:p>
    <w:p>
      <w:pPr>
        <w:spacing w:after="0"/>
      </w:pPr>
      <w:r>
        <w:rPr>
          <w:sz w:val="14"/>
          <w:szCs w:val="14"/>
        </w:rPr>
        <w:t xml:space="preserve"/>
      </w:r>
    </w:p>
    <w:tbl>
      <w:tblPr>
        <w:tblW w:type="dxa" w:w="9360"/>
        <w:tblBorders>
          <w:top w:val="single" w:color="D6DCE1" w:sz="2"/>
          <w:left w:val="single" w:color="C0504D" w:sz="18"/>
          <w:bottom w:val="single" w:color="D6DCE1" w:sz="2"/>
          <w:right w:val="single" w:color="D6DCE1" w:sz="2"/>
          <w:insideH w:val="single" w:color="D6DCE1" w:sz="2"/>
          <w:insideV w:val="single" w:color="D6DCE1" w:sz="2"/>
        </w:tblBorders>
      </w:tblPr>
      <w:tblGrid>
        <w:gridCol w:w="9360"/>
      </w:tblGrid>
      <w:tr>
        <w:tc>
          <w:tcPr>
            <w:tcW w:type="dxa" w:w="9360"/>
            <w:shd w:fill="F2F5F7" w:color="auto" w:val="clear"/>
            <w:tcMar>
              <w:top w:type="dxa" w:w="130"/>
              <w:left w:type="dxa" w:w="170"/>
              <w:bottom w:type="dxa" w:w="130"/>
              <w:right w:type="dxa" w:w="170"/>
            </w:tcMar>
          </w:tcPr>
          <w:p>
            <w:pPr>
              <w:spacing w:after="60"/>
            </w:pPr>
            <w:r>
              <w:rPr>
                <w:rFonts w:ascii="Calibri" w:cs="Calibri" w:eastAsia="Calibri" w:hAnsi="Calibri"/>
                <w:b/>
                <w:bCs/>
                <w:color w:val="C0504D"/>
                <w:sz w:val="20"/>
                <w:szCs w:val="20"/>
              </w:rPr>
              <w:t xml:space="preserve">Decisión de diseño</w:t>
            </w:r>
          </w:p>
          <w:p>
            <w:pPr>
              <w:spacing w:after="0" w:line="260"/>
            </w:pPr>
            <w:r>
              <w:rPr>
                <w:rFonts w:ascii="Calibri" w:cs="Calibri" w:eastAsia="Calibri" w:hAnsi="Calibri"/>
                <w:sz w:val="20"/>
                <w:szCs w:val="20"/>
              </w:rPr>
              <w:t xml:space="preserve">El pronóstico y el pedido sugerido se calculan sin EPA por defecto. EPA se trata aparte, como lo que es: un cliente de proyecto con compras puntuales. El botón no es cosmético.</w:t>
            </w:r>
          </w:p>
        </w:tc>
      </w:tr>
    </w:tbl>
    <w:p>
      <w:pPr>
        <w:pStyle w:val="Heading2"/>
        <w:spacing w:after="120" w:before="260"/>
      </w:pPr>
      <w:r>
        <w:rPr>
          <w:rFonts w:ascii="Calibri" w:cs="Calibri" w:eastAsia="Calibri" w:hAnsi="Calibri"/>
          <w:b/>
          <w:bCs/>
          <w:color w:val="1F4E79"/>
          <w:sz w:val="24"/>
          <w:szCs w:val="24"/>
        </w:rPr>
        <w:t xml:space="preserve">La venta de PCP no está asignada a vendedor</w:t>
      </w:r>
    </w:p>
    <w:p>
      <w:pPr>
        <w:spacing w:after="120" w:line="276"/>
      </w:pPr>
      <w:r>
        <w:rPr>
          <w:rFonts w:ascii="Calibri" w:cs="Calibri" w:eastAsia="Calibri" w:hAnsi="Calibri"/>
          <w:sz w:val="21"/>
          <w:szCs w:val="21"/>
        </w:rPr>
        <w:t xml:space="preserve">Desde 2025 toda la venta de la marca aparece bajo «NO CLASIFICADO»: 157.650 dólares en agosto. Antes de 2025 el SIM repetía el total de la marca idéntico en los 739 vendedores, así que tampoco servía.</w:t>
      </w:r>
    </w:p>
    <w:p>
      <w:pPr>
        <w:spacing w:after="120" w:line="276"/>
      </w:pPr>
      <w:r>
        <w:rPr>
          <w:rFonts w:ascii="Calibri" w:cs="Calibri" w:eastAsia="Calibri" w:hAnsi="Calibri"/>
          <w:sz w:val="21"/>
          <w:szCs w:val="21"/>
        </w:rPr>
        <w:t xml:space="preserve">Consecuencia práctica: el ranking de vendedores no funciona para PCP. Se usa el de supervisores, que sí tiene datos reales y suma exacto. Hay que confirmar si esto pasa también en otras marcas.</w:t>
      </w:r>
    </w:p>
    <w:p>
      <w:pPr>
        <w:pStyle w:val="Heading2"/>
        <w:spacing w:after="120" w:before="260"/>
      </w:pPr>
      <w:r>
        <w:rPr>
          <w:rFonts w:ascii="Calibri" w:cs="Calibri" w:eastAsia="Calibri" w:hAnsi="Calibri"/>
          <w:b/>
          <w:bCs/>
          <w:color w:val="1F4E79"/>
          <w:sz w:val="24"/>
          <w:szCs w:val="24"/>
        </w:rPr>
        <w:t xml:space="preserve">Los clientes tienen un estado; los vendedores, varios</w:t>
      </w:r>
    </w:p>
    <w:p>
      <w:pPr>
        <w:pStyle w:val="ListParagraph"/>
        <w:numPr>
          <w:ilvl w:val="0"/>
          <w:numId w:val="2"/>
        </w:numPr>
        <w:spacing w:after="80" w:line="276"/>
      </w:pPr>
      <w:r>
        <w:rPr>
          <w:rFonts w:ascii="Calibri" w:cs="Calibri" w:eastAsia="Calibri" w:hAnsi="Calibri"/>
          <w:sz w:val="21"/>
          <w:szCs w:val="21"/>
        </w:rPr>
        <w:t xml:space="preserve">Cada cliente pertenece a un solo estado: verificado en los 179 clientes con venta.</w:t>
      </w:r>
    </w:p>
    <w:p>
      <w:pPr>
        <w:pStyle w:val="ListParagraph"/>
        <w:numPr>
          <w:ilvl w:val="0"/>
          <w:numId w:val="2"/>
        </w:numPr>
        <w:spacing w:after="80" w:line="276"/>
      </w:pPr>
      <w:r>
        <w:rPr>
          <w:rFonts w:ascii="Calibri" w:cs="Calibri" w:eastAsia="Calibri" w:hAnsi="Calibri"/>
          <w:sz w:val="21"/>
          <w:szCs w:val="21"/>
        </w:rPr>
        <w:t xml:space="preserve">597 de los 739 vendedores venden en más de un estado.</w:t>
      </w:r>
    </w:p>
    <w:p>
      <w:pPr>
        <w:spacing w:after="120" w:line="276"/>
      </w:pPr>
      <w:r>
        <w:rPr>
          <w:rFonts w:ascii="Calibri" w:cs="Calibri" w:eastAsia="Calibri" w:hAnsi="Calibri"/>
          <w:sz w:val="21"/>
          <w:szCs w:val="21"/>
        </w:rPr>
        <w:t xml:space="preserve">Por eso el vendedor no «es» de un estado, y el cruce vendedor por estado no es trivial. Si hiciera falta, se resuelve con una descarga de catálogo «Cliente, Vendedor» de un solo mes, que pesa muy poco.</w:t>
      </w:r>
    </w:p>
    <w:p>
      <w:pPr>
        <w:pStyle w:val="Heading2"/>
        <w:spacing w:after="120" w:before="260"/>
      </w:pPr>
      <w:r>
        <w:rPr>
          <w:rFonts w:ascii="Calibri" w:cs="Calibri" w:eastAsia="Calibri" w:hAnsi="Calibri"/>
          <w:b/>
          <w:bCs/>
          <w:color w:val="1F4E79"/>
          <w:sz w:val="24"/>
          <w:szCs w:val="24"/>
        </w:rPr>
        <w:t xml:space="preserve">Cifras de referencia de PCP: agosto de 2026</w:t>
      </w:r>
    </w:p>
    <w:p>
      <w:pPr>
        <w:spacing w:after="120" w:line="276"/>
      </w:pPr>
      <w:r>
        <w:rPr>
          <w:rFonts w:ascii="Calibri" w:cs="Calibri" w:eastAsia="Calibri" w:hAnsi="Calibri"/>
          <w:sz w:val="21"/>
          <w:szCs w:val="21"/>
        </w:rPr>
        <w:t xml:space="preserve">Sirven para validar que el parser esté leyendo bien. Si estos números no cuadran, algo se rompió.</w:t>
      </w:r>
    </w:p>
    <w:p>
      <w:pPr>
        <w:spacing w:after="0"/>
      </w:pPr>
      <w:r>
        <w:rPr>
          <w:sz w:val="14"/>
          <w:szCs w:val="14"/>
        </w:rPr>
        <w:t xml:space="preserve"/>
      </w:r>
    </w:p>
    <w:tbl>
      <w:tblPr>
        <w:tblW w:type="dxa" w:w="9360"/>
        <w:tblBorders>
          <w:top w:val="single" w:color="D6DCE1" w:sz="2"/>
          <w:left w:val="single" w:color="D6DCE1" w:sz="2"/>
          <w:bottom w:val="single" w:color="D6DCE1" w:sz="2"/>
          <w:right w:val="single" w:color="D6DCE1" w:sz="2"/>
          <w:insideH w:val="single" w:color="D6DCE1" w:sz="2"/>
          <w:insideV w:val="single" w:color="D6DCE1" w:sz="2"/>
        </w:tblBorders>
      </w:tblPr>
      <w:tblGrid>
        <w:gridCol w:w="4680"/>
        <w:gridCol w:w="4680"/>
      </w:tblGrid>
      <w:tr>
        <w:trPr>
          <w:tblHeader/>
        </w:trPr>
        <w:tc>
          <w:tcPr>
            <w:tcW w:type="dxa" w:w="4680"/>
            <w:shd w:fill="1F4E79"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Métrica</w:t>
            </w:r>
          </w:p>
        </w:tc>
        <w:tc>
          <w:tcPr>
            <w:tcW w:type="dxa" w:w="4680"/>
            <w:shd w:fill="1F4E79"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Valor</w:t>
            </w:r>
          </w:p>
        </w:tc>
      </w:tr>
      <w:tr>
        <w:tc>
          <w:tcPr>
            <w:tcW w:type="dxa" w:w="4680"/>
            <w:tcMar>
              <w:top w:type="dxa" w:w="70"/>
              <w:left w:type="dxa" w:w="110"/>
              <w:bottom w:type="dxa" w:w="70"/>
              <w:right w:type="dxa" w:w="110"/>
            </w:tcMar>
          </w:tcPr>
          <w:p>
            <w:pPr>
              <w:spacing w:after="0" w:line="250"/>
            </w:pPr>
            <w:r>
              <w:rPr>
                <w:rFonts w:ascii="Calibri" w:cs="Calibri" w:eastAsia="Calibri" w:hAnsi="Calibri"/>
                <w:sz w:val="19"/>
                <w:szCs w:val="19"/>
              </w:rPr>
              <w:t xml:space="preserve">Venta neta (con EPA)</w:t>
            </w:r>
          </w:p>
        </w:tc>
        <w:tc>
          <w:tcPr>
            <w:tcW w:type="dxa" w:w="4680"/>
            <w:tcMar>
              <w:top w:type="dxa" w:w="70"/>
              <w:left w:type="dxa" w:w="110"/>
              <w:bottom w:type="dxa" w:w="70"/>
              <w:right w:type="dxa" w:w="110"/>
            </w:tcMar>
          </w:tcPr>
          <w:p>
            <w:pPr>
              <w:spacing w:after="0" w:line="250"/>
            </w:pPr>
            <w:r>
              <w:rPr>
                <w:rFonts w:ascii="Calibri" w:cs="Calibri" w:eastAsia="Calibri" w:hAnsi="Calibri"/>
                <w:sz w:val="19"/>
                <w:szCs w:val="19"/>
              </w:rPr>
              <w:t xml:space="preserve">$145.696</w:t>
            </w:r>
          </w:p>
        </w:tc>
      </w:tr>
      <w:tr>
        <w:tc>
          <w:tcPr>
            <w:tcW w:type="dxa" w:w="4680"/>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Venta neta (sin EPA)</w:t>
            </w:r>
          </w:p>
        </w:tc>
        <w:tc>
          <w:tcPr>
            <w:tcW w:type="dxa" w:w="4680"/>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$117.020</w:t>
            </w:r>
          </w:p>
        </w:tc>
      </w:tr>
      <w:tr>
        <w:tc>
          <w:tcPr>
            <w:tcW w:type="dxa" w:w="4680"/>
            <w:tcMar>
              <w:top w:type="dxa" w:w="70"/>
              <w:left w:type="dxa" w:w="110"/>
              <w:bottom w:type="dxa" w:w="70"/>
              <w:right w:type="dxa" w:w="110"/>
            </w:tcMar>
          </w:tcPr>
          <w:p>
            <w:pPr>
              <w:spacing w:after="0" w:line="250"/>
            </w:pPr>
            <w:r>
              <w:rPr>
                <w:rFonts w:ascii="Calibri" w:cs="Calibri" w:eastAsia="Calibri" w:hAnsi="Calibri"/>
                <w:sz w:val="19"/>
                <w:szCs w:val="19"/>
              </w:rPr>
              <w:t xml:space="preserve">Unidades</w:t>
            </w:r>
          </w:p>
        </w:tc>
        <w:tc>
          <w:tcPr>
            <w:tcW w:type="dxa" w:w="4680"/>
            <w:tcMar>
              <w:top w:type="dxa" w:w="70"/>
              <w:left w:type="dxa" w:w="110"/>
              <w:bottom w:type="dxa" w:w="70"/>
              <w:right w:type="dxa" w:w="110"/>
            </w:tcMar>
          </w:tcPr>
          <w:p>
            <w:pPr>
              <w:spacing w:after="0" w:line="250"/>
            </w:pPr>
            <w:r>
              <w:rPr>
                <w:rFonts w:ascii="Calibri" w:cs="Calibri" w:eastAsia="Calibri" w:hAnsi="Calibri"/>
                <w:sz w:val="19"/>
                <w:szCs w:val="19"/>
              </w:rPr>
              <w:t xml:space="preserve">87.863</w:t>
            </w:r>
          </w:p>
        </w:tc>
      </w:tr>
      <w:tr>
        <w:tc>
          <w:tcPr>
            <w:tcW w:type="dxa" w:w="4680"/>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Toneladas</w:t>
            </w:r>
          </w:p>
        </w:tc>
        <w:tc>
          <w:tcPr>
            <w:tcW w:type="dxa" w:w="4680"/>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210</w:t>
            </w:r>
          </w:p>
        </w:tc>
      </w:tr>
      <w:tr>
        <w:tc>
          <w:tcPr>
            <w:tcW w:type="dxa" w:w="4680"/>
            <w:tcMar>
              <w:top w:type="dxa" w:w="70"/>
              <w:left w:type="dxa" w:w="110"/>
              <w:bottom w:type="dxa" w:w="70"/>
              <w:right w:type="dxa" w:w="110"/>
            </w:tcMar>
          </w:tcPr>
          <w:p>
            <w:pPr>
              <w:spacing w:after="0" w:line="250"/>
            </w:pPr>
            <w:r>
              <w:rPr>
                <w:rFonts w:ascii="Calibri" w:cs="Calibri" w:eastAsia="Calibri" w:hAnsi="Calibri"/>
                <w:sz w:val="19"/>
                <w:szCs w:val="19"/>
              </w:rPr>
              <w:t xml:space="preserve">Precio promedio</w:t>
            </w:r>
          </w:p>
        </w:tc>
        <w:tc>
          <w:tcPr>
            <w:tcW w:type="dxa" w:w="4680"/>
            <w:tcMar>
              <w:top w:type="dxa" w:w="70"/>
              <w:left w:type="dxa" w:w="110"/>
              <w:bottom w:type="dxa" w:w="70"/>
              <w:right w:type="dxa" w:w="110"/>
            </w:tcMar>
          </w:tcPr>
          <w:p>
            <w:pPr>
              <w:spacing w:after="0" w:line="250"/>
            </w:pPr>
            <w:r>
              <w:rPr>
                <w:rFonts w:ascii="Calibri" w:cs="Calibri" w:eastAsia="Calibri" w:hAnsi="Calibri"/>
                <w:sz w:val="19"/>
                <w:szCs w:val="19"/>
              </w:rPr>
              <w:t xml:space="preserve">$1,66 por unidad</w:t>
            </w:r>
          </w:p>
        </w:tc>
      </w:tr>
      <w:tr>
        <w:tc>
          <w:tcPr>
            <w:tcW w:type="dxa" w:w="4680"/>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Contribución</w:t>
            </w:r>
          </w:p>
        </w:tc>
        <w:tc>
          <w:tcPr>
            <w:tcW w:type="dxa" w:w="4680"/>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$38.175</w:t>
            </w:r>
          </w:p>
        </w:tc>
      </w:tr>
      <w:tr>
        <w:tc>
          <w:tcPr>
            <w:tcW w:type="dxa" w:w="4680"/>
            <w:tcMar>
              <w:top w:type="dxa" w:w="70"/>
              <w:left w:type="dxa" w:w="110"/>
              <w:bottom w:type="dxa" w:w="70"/>
              <w:right w:type="dxa" w:w="110"/>
            </w:tcMar>
          </w:tcPr>
          <w:p>
            <w:pPr>
              <w:spacing w:after="0" w:line="250"/>
            </w:pPr>
            <w:r>
              <w:rPr>
                <w:rFonts w:ascii="Calibri" w:cs="Calibri" w:eastAsia="Calibri" w:hAnsi="Calibri"/>
                <w:sz w:val="19"/>
                <w:szCs w:val="19"/>
              </w:rPr>
              <w:t xml:space="preserve">Margen</w:t>
            </w:r>
          </w:p>
        </w:tc>
        <w:tc>
          <w:tcPr>
            <w:tcW w:type="dxa" w:w="4680"/>
            <w:tcMar>
              <w:top w:type="dxa" w:w="70"/>
              <w:left w:type="dxa" w:w="110"/>
              <w:bottom w:type="dxa" w:w="70"/>
              <w:right w:type="dxa" w:w="110"/>
            </w:tcMar>
          </w:tcPr>
          <w:p>
            <w:pPr>
              <w:spacing w:after="0" w:line="250"/>
            </w:pPr>
            <w:r>
              <w:rPr>
                <w:rFonts w:ascii="Calibri" w:cs="Calibri" w:eastAsia="Calibri" w:hAnsi="Calibri"/>
                <w:sz w:val="19"/>
                <w:szCs w:val="19"/>
              </w:rPr>
              <w:t xml:space="preserve">26,2%</w:t>
            </w:r>
          </w:p>
        </w:tc>
      </w:tr>
      <w:tr>
        <w:tc>
          <w:tcPr>
            <w:tcW w:type="dxa" w:w="4680"/>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Rotación</w:t>
            </w:r>
          </w:p>
        </w:tc>
        <w:tc>
          <w:tcPr>
            <w:tcW w:type="dxa" w:w="4680"/>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10,9x</w:t>
            </w:r>
          </w:p>
        </w:tc>
      </w:tr>
      <w:tr>
        <w:tc>
          <w:tcPr>
            <w:tcW w:type="dxa" w:w="4680"/>
            <w:tcMar>
              <w:top w:type="dxa" w:w="70"/>
              <w:left w:type="dxa" w:w="110"/>
              <w:bottom w:type="dxa" w:w="70"/>
              <w:right w:type="dxa" w:w="110"/>
            </w:tcMar>
          </w:tcPr>
          <w:p>
            <w:pPr>
              <w:spacing w:after="0" w:line="250"/>
            </w:pPr>
            <w:r>
              <w:rPr>
                <w:rFonts w:ascii="Calibri" w:cs="Calibri" w:eastAsia="Calibri" w:hAnsi="Calibri"/>
                <w:sz w:val="19"/>
                <w:szCs w:val="19"/>
              </w:rPr>
              <w:t xml:space="preserve">Inventario</w:t>
            </w:r>
          </w:p>
        </w:tc>
        <w:tc>
          <w:tcPr>
            <w:tcW w:type="dxa" w:w="4680"/>
            <w:tcMar>
              <w:top w:type="dxa" w:w="70"/>
              <w:left w:type="dxa" w:w="110"/>
              <w:bottom w:type="dxa" w:w="70"/>
              <w:right w:type="dxa" w:w="110"/>
            </w:tcMar>
          </w:tcPr>
          <w:p>
            <w:pPr>
              <w:spacing w:after="0" w:line="250"/>
            </w:pPr>
            <w:r>
              <w:rPr>
                <w:rFonts w:ascii="Calibri" w:cs="Calibri" w:eastAsia="Calibri" w:hAnsi="Calibri"/>
                <w:sz w:val="19"/>
                <w:szCs w:val="19"/>
              </w:rPr>
              <w:t xml:space="preserve">$118.727</w:t>
            </w:r>
          </w:p>
        </w:tc>
      </w:tr>
      <w:tr>
        <w:tc>
          <w:tcPr>
            <w:tcW w:type="dxa" w:w="4680"/>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Orden de compra por recibir</w:t>
            </w:r>
          </w:p>
        </w:tc>
        <w:tc>
          <w:tcPr>
            <w:tcW w:type="dxa" w:w="4680"/>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$390.080 (2,7 meses)</w:t>
            </w:r>
          </w:p>
        </w:tc>
      </w:tr>
      <w:tr>
        <w:tc>
          <w:tcPr>
            <w:tcW w:type="dxa" w:w="4680"/>
            <w:tcMar>
              <w:top w:type="dxa" w:w="70"/>
              <w:left w:type="dxa" w:w="110"/>
              <w:bottom w:type="dxa" w:w="70"/>
              <w:right w:type="dxa" w:w="110"/>
            </w:tcMar>
          </w:tcPr>
          <w:p>
            <w:pPr>
              <w:spacing w:after="0" w:line="250"/>
            </w:pPr>
            <w:r>
              <w:rPr>
                <w:rFonts w:ascii="Calibri" w:cs="Calibri" w:eastAsia="Calibri" w:hAnsi="Calibri"/>
                <w:sz w:val="19"/>
                <w:szCs w:val="19"/>
              </w:rPr>
              <w:t xml:space="preserve">Presupuesto bruto</w:t>
            </w:r>
          </w:p>
        </w:tc>
        <w:tc>
          <w:tcPr>
            <w:tcW w:type="dxa" w:w="4680"/>
            <w:tcMar>
              <w:top w:type="dxa" w:w="70"/>
              <w:left w:type="dxa" w:w="110"/>
              <w:bottom w:type="dxa" w:w="70"/>
              <w:right w:type="dxa" w:w="110"/>
            </w:tcMar>
          </w:tcPr>
          <w:p>
            <w:pPr>
              <w:spacing w:after="0" w:line="250"/>
            </w:pPr>
            <w:r>
              <w:rPr>
                <w:rFonts w:ascii="Calibri" w:cs="Calibri" w:eastAsia="Calibri" w:hAnsi="Calibri"/>
                <w:sz w:val="19"/>
                <w:szCs w:val="19"/>
              </w:rPr>
              <w:t xml:space="preserve">$141.751  →  cumplimiento 102,8%</w:t>
            </w:r>
          </w:p>
        </w:tc>
      </w:tr>
      <w:tr>
        <w:tc>
          <w:tcPr>
            <w:tcW w:type="dxa" w:w="4680"/>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Clientes activados</w:t>
            </w:r>
          </w:p>
        </w:tc>
        <w:tc>
          <w:tcPr>
            <w:tcW w:type="dxa" w:w="4680"/>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728  ·  inactivos 7.905</w:t>
            </w:r>
          </w:p>
        </w:tc>
      </w:tr>
      <w:tr>
        <w:tc>
          <w:tcPr>
            <w:tcW w:type="dxa" w:w="4680"/>
            <w:tcMar>
              <w:top w:type="dxa" w:w="70"/>
              <w:left w:type="dxa" w:w="110"/>
              <w:bottom w:type="dxa" w:w="70"/>
              <w:right w:type="dxa" w:w="110"/>
            </w:tcMar>
          </w:tcPr>
          <w:p>
            <w:pPr>
              <w:spacing w:after="0" w:line="250"/>
            </w:pPr>
            <w:r>
              <w:rPr>
                <w:rFonts w:ascii="Calibri" w:cs="Calibri" w:eastAsia="Calibri" w:hAnsi="Calibri"/>
                <w:sz w:val="19"/>
                <w:szCs w:val="19"/>
              </w:rPr>
              <w:t xml:space="preserve">SKU activados</w:t>
            </w:r>
          </w:p>
        </w:tc>
        <w:tc>
          <w:tcPr>
            <w:tcW w:type="dxa" w:w="4680"/>
            <w:tcMar>
              <w:top w:type="dxa" w:w="70"/>
              <w:left w:type="dxa" w:w="110"/>
              <w:bottom w:type="dxa" w:w="70"/>
              <w:right w:type="dxa" w:w="110"/>
            </w:tcMar>
          </w:tcPr>
          <w:p>
            <w:pPr>
              <w:spacing w:after="0" w:line="250"/>
            </w:pPr>
            <w:r>
              <w:rPr>
                <w:rFonts w:ascii="Calibri" w:cs="Calibri" w:eastAsia="Calibri" w:hAnsi="Calibri"/>
                <w:sz w:val="19"/>
                <w:szCs w:val="19"/>
              </w:rPr>
              <w:t xml:space="preserve">74</w:t>
            </w:r>
          </w:p>
        </w:tc>
      </w:tr>
      <w:tr>
        <w:tc>
          <w:tcPr>
            <w:tcW w:type="dxa" w:w="4680"/>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Artículos con movimiento</w:t>
            </w:r>
          </w:p>
        </w:tc>
        <w:tc>
          <w:tcPr>
            <w:tcW w:type="dxa" w:w="4680"/>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93 de 173 en el catálogo</w:t>
            </w:r>
          </w:p>
        </w:tc>
      </w:tr>
      <w:tr>
        <w:tc>
          <w:tcPr>
            <w:tcW w:type="dxa" w:w="4680"/>
            <w:tcMar>
              <w:top w:type="dxa" w:w="70"/>
              <w:left w:type="dxa" w:w="110"/>
              <w:bottom w:type="dxa" w:w="70"/>
              <w:right w:type="dxa" w:w="110"/>
            </w:tcMar>
          </w:tcPr>
          <w:p>
            <w:pPr>
              <w:spacing w:after="0" w:line="250"/>
            </w:pPr>
            <w:r>
              <w:rPr>
                <w:rFonts w:ascii="Calibri" w:cs="Calibri" w:eastAsia="Calibri" w:hAnsi="Calibri"/>
                <w:sz w:val="19"/>
                <w:szCs w:val="19"/>
              </w:rPr>
              <w:t xml:space="preserve">Historia disponible</w:t>
            </w:r>
          </w:p>
        </w:tc>
        <w:tc>
          <w:tcPr>
            <w:tcW w:type="dxa" w:w="4680"/>
            <w:tcMar>
              <w:top w:type="dxa" w:w="70"/>
              <w:left w:type="dxa" w:w="110"/>
              <w:bottom w:type="dxa" w:w="70"/>
              <w:right w:type="dxa" w:w="110"/>
            </w:tcMar>
          </w:tcPr>
          <w:p>
            <w:pPr>
              <w:spacing w:after="0" w:line="250"/>
            </w:pPr>
            <w:r>
              <w:rPr>
                <w:rFonts w:ascii="Calibri" w:cs="Calibri" w:eastAsia="Calibri" w:hAnsi="Calibri"/>
                <w:sz w:val="19"/>
                <w:szCs w:val="19"/>
              </w:rPr>
              <w:t xml:space="preserve">38 meses con venta (ago 2023 a sep 2026)</w:t>
            </w:r>
          </w:p>
        </w:tc>
      </w:tr>
    </w:tbl>
    <w:p>
      <w:pPr>
        <w:spacing w:after="0"/>
      </w:pPr>
      <w:r>
        <w:rPr>
          <w:sz w:val="14"/>
          <w:szCs w:val="14"/>
        </w:rPr>
        <w:t xml:space="preserve"/>
      </w:r>
    </w:p>
    <w:p>
      <w:pPr>
        <w:spacing w:after="120" w:line="276"/>
      </w:pPr>
      <w:r>
        <w:rPr>
          <w:rFonts w:ascii="Calibri" w:cs="Calibri" w:eastAsia="Calibri" w:hAnsi="Calibri"/>
          <w:sz w:val="21"/>
          <w:szCs w:val="21"/>
        </w:rPr>
        <w:t xml:space="preserve">Crecimiento de la marca: agosto 2024 fueron 58.840 dólares; agosto 2025, 140.980; agosto 2026, 145.696.</w:t>
      </w:r>
    </w:p>
    <w:p>
      <w:pPr>
        <w:spacing w:after="0"/>
      </w:pPr>
      <w:r>
        <w:rPr>
          <w:sz w:val="14"/>
          <w:szCs w:val="14"/>
        </w:rPr>
        <w:t xml:space="preserve"/>
      </w:r>
    </w:p>
    <w:p>
      <w:pPr>
        <w:spacing w:after="120" w:line="276"/>
      </w:pPr>
      <w:r>
        <w:rPr>
          <w:rFonts w:ascii="Calibri" w:cs="Calibri" w:eastAsia="Calibri" w:hAnsi="Calibri"/>
          <w:sz w:val="21"/>
          <w:szCs w:val="21"/>
        </w:rPr>
        <w:t xml:space="preserve">Regiones en agosto: Centro 56.570, Oriente 35.880, Occidente 32.630, Capital 20.610. El estado líder es Carabobo con 39.180. El supervisor líder es Charly Bello con 36.210.</w:t>
      </w:r>
    </w:p>
    <w:p>
      <w:pPr>
        <w:spacing w:after="120" w:line="276"/>
      </w:pPr>
      <w:r>
        <w:rPr>
          <w:rFonts w:ascii="Calibri" w:cs="Calibri" w:eastAsia="Calibri" w:hAnsi="Calibri"/>
          <w:sz w:val="21"/>
          <w:szCs w:val="21"/>
        </w:rPr>
        <w:t xml:space="preserve">Concentración de la orden de compra: cinco artículos son el 48,6% de los 390.080 dólares. Hay SKUs con ocho o nueve meses de cobertura (inventario dormido) junto a otros en 1,6 meses (riesgo de quiebre).</w:t>
      </w:r>
    </w:p>
    <w:p>
      <w:r>
        <w:br w:type="page"/>
      </w:r>
    </w:p>
    <w:p>
      <w:pPr>
        <w:pStyle w:val="Heading1"/>
        <w:spacing w:after="160" w:before="360"/>
      </w:pPr>
      <w:r>
        <w:rPr>
          <w:rFonts w:ascii="Calibri" w:cs="Calibri" w:eastAsia="Calibri" w:hAnsi="Calibri"/>
          <w:b/>
          <w:bCs/>
          <w:color w:val="1F4E79"/>
          <w:sz w:val="30"/>
          <w:szCs w:val="30"/>
        </w:rPr>
        <w:t xml:space="preserve">8. Arquitectura propuesta</w:t>
      </w:r>
    </w:p>
    <w:p>
      <w:pPr>
        <w:spacing w:after="120" w:line="276"/>
      </w:pPr>
      <w:r>
        <w:rPr>
          <w:rFonts w:ascii="Calibri" w:cs="Calibri" w:eastAsia="Calibri" w:hAnsi="Calibri"/>
          <w:sz w:val="21"/>
          <w:szCs w:val="21"/>
        </w:rPr>
        <w:t xml:space="preserve">Restricciones de partida: es una web estática desplegada en Netlify (por ahora un demo; después se quiere base de datos), cada comprador sube su propio Excel, y el flujo no puede exigir trabajo manual.</w:t>
      </w:r>
    </w:p>
    <w:p>
      <w:pPr>
        <w:spacing w:after="0"/>
      </w:pPr>
      <w:r>
        <w:rPr>
          <w:sz w:val="14"/>
          <w:szCs w:val="14"/>
        </w:rPr>
        <w:t xml:space="preserve"/>
      </w:r>
    </w:p>
    <w:tbl>
      <w:tblPr>
        <w:tblW w:type="dxa" w:w="9360"/>
        <w:tblBorders>
          <w:top w:val="single" w:color="D6DCE1" w:sz="2"/>
          <w:left w:val="single" w:color="D6DCE1" w:sz="2"/>
          <w:bottom w:val="single" w:color="D6DCE1" w:sz="2"/>
          <w:right w:val="single" w:color="D6DCE1" w:sz="2"/>
          <w:insideH w:val="single" w:color="D6DCE1" w:sz="2"/>
          <w:insideV w:val="single" w:color="D6DCE1" w:sz="2"/>
        </w:tblBorders>
      </w:tblPr>
      <w:tblGrid>
        <w:gridCol w:w="2059"/>
        <w:gridCol w:w="7301"/>
      </w:tblGrid>
      <w:tr>
        <w:trPr>
          <w:tblHeader/>
        </w:trPr>
        <w:tc>
          <w:tcPr>
            <w:tcW w:type="dxa" w:w="2059"/>
            <w:shd w:fill="1F4E79"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Capa</w:t>
            </w:r>
          </w:p>
        </w:tc>
        <w:tc>
          <w:tcPr>
            <w:tcW w:type="dxa" w:w="7301"/>
            <w:shd w:fill="1F4E79"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Decisión</w:t>
            </w:r>
          </w:p>
        </w:tc>
      </w:tr>
      <w:tr>
        <w:tc>
          <w:tcPr>
            <w:tcW w:type="dxa" w:w="2059"/>
            <w:tcMar>
              <w:top w:type="dxa" w:w="70"/>
              <w:left w:type="dxa" w:w="110"/>
              <w:bottom w:type="dxa" w:w="70"/>
              <w:right w:type="dxa" w:w="110"/>
            </w:tcMar>
          </w:tcPr>
          <w:p>
            <w:pPr>
              <w:spacing w:after="0" w:line="250"/>
            </w:pPr>
            <w:r>
              <w:rPr>
                <w:rFonts w:ascii="Calibri" w:cs="Calibri" w:eastAsia="Calibri" w:hAnsi="Calibri"/>
                <w:sz w:val="19"/>
                <w:szCs w:val="19"/>
              </w:rPr>
              <w:t xml:space="preserve">Descarga</w:t>
            </w:r>
          </w:p>
        </w:tc>
        <w:tc>
          <w:tcPr>
            <w:tcW w:type="dxa" w:w="7301"/>
            <w:tcMar>
              <w:top w:type="dxa" w:w="70"/>
              <w:left w:type="dxa" w:w="110"/>
              <w:bottom w:type="dxa" w:w="70"/>
              <w:right w:type="dxa" w:w="110"/>
            </w:tcMar>
          </w:tcPr>
          <w:p>
            <w:pPr>
              <w:spacing w:after="0" w:line="250"/>
            </w:pPr>
            <w:r>
              <w:rPr>
                <w:rFonts w:ascii="Calibri" w:cs="Calibri" w:eastAsia="Calibri" w:hAnsi="Calibri"/>
                <w:sz w:val="19"/>
                <w:szCs w:val="19"/>
              </w:rPr>
              <w:t xml:space="preserve">Instructivo fijo de nueve exportaciones, con los filtros exactos para copiar y pegar en el SIM</w:t>
            </w:r>
          </w:p>
        </w:tc>
      </w:tr>
      <w:tr>
        <w:tc>
          <w:tcPr>
            <w:tcW w:type="dxa" w:w="2059"/>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Carga</w:t>
            </w:r>
          </w:p>
        </w:tc>
        <w:tc>
          <w:tcPr>
            <w:tcW w:type="dxa" w:w="7301"/>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Una sola zona de arrastrar y soltar. Todos los archivos juntos, en cualquier orden y con cualquier nombre</w:t>
            </w:r>
          </w:p>
        </w:tc>
      </w:tr>
      <w:tr>
        <w:tc>
          <w:tcPr>
            <w:tcW w:type="dxa" w:w="2059"/>
            <w:tcMar>
              <w:top w:type="dxa" w:w="70"/>
              <w:left w:type="dxa" w:w="110"/>
              <w:bottom w:type="dxa" w:w="70"/>
              <w:right w:type="dxa" w:w="110"/>
            </w:tcMar>
          </w:tcPr>
          <w:p>
            <w:pPr>
              <w:spacing w:after="0" w:line="250"/>
            </w:pPr>
            <w:r>
              <w:rPr>
                <w:rFonts w:ascii="Calibri" w:cs="Calibri" w:eastAsia="Calibri" w:hAnsi="Calibri"/>
                <w:sz w:val="19"/>
                <w:szCs w:val="19"/>
              </w:rPr>
              <w:t xml:space="preserve">Detección</w:t>
            </w:r>
          </w:p>
        </w:tc>
        <w:tc>
          <w:tcPr>
            <w:tcW w:type="dxa" w:w="7301"/>
            <w:tcMar>
              <w:top w:type="dxa" w:w="70"/>
              <w:left w:type="dxa" w:w="110"/>
              <w:bottom w:type="dxa" w:w="70"/>
              <w:right w:type="dxa" w:w="110"/>
            </w:tcMar>
          </w:tcPr>
          <w:p>
            <w:pPr>
              <w:spacing w:after="0" w:line="250"/>
            </w:pPr>
            <w:r>
              <w:rPr>
                <w:rFonts w:ascii="Calibri" w:cs="Calibri" w:eastAsia="Calibri" w:hAnsi="Calibri"/>
                <w:sz w:val="19"/>
                <w:szCs w:val="19"/>
              </w:rPr>
              <w:t xml:space="preserve">Automática, leyendo el bloque «Filtros aplicados»; plan B por estructura del encabezado</w:t>
            </w:r>
          </w:p>
        </w:tc>
      </w:tr>
      <w:tr>
        <w:tc>
          <w:tcPr>
            <w:tcW w:type="dxa" w:w="2059"/>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Parseo</w:t>
            </w:r>
          </w:p>
        </w:tc>
        <w:tc>
          <w:tcPr>
            <w:tcW w:type="dxa" w:w="7301"/>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Web Worker con SheetJS, para que la interfaz no se congele con archivos grandes</w:t>
            </w:r>
          </w:p>
        </w:tc>
      </w:tr>
      <w:tr>
        <w:tc>
          <w:tcPr>
            <w:tcW w:type="dxa" w:w="2059"/>
            <w:tcMar>
              <w:top w:type="dxa" w:w="70"/>
              <w:left w:type="dxa" w:w="110"/>
              <w:bottom w:type="dxa" w:w="70"/>
              <w:right w:type="dxa" w:w="110"/>
            </w:tcMar>
          </w:tcPr>
          <w:p>
            <w:pPr>
              <w:spacing w:after="0" w:line="250"/>
            </w:pPr>
            <w:r>
              <w:rPr>
                <w:rFonts w:ascii="Calibri" w:cs="Calibri" w:eastAsia="Calibri" w:hAnsi="Calibri"/>
                <w:sz w:val="19"/>
                <w:szCs w:val="19"/>
              </w:rPr>
              <w:t xml:space="preserve">Normalización</w:t>
            </w:r>
          </w:p>
        </w:tc>
        <w:tc>
          <w:tcPr>
            <w:tcW w:type="dxa" w:w="7301"/>
            <w:tcMar>
              <w:top w:type="dxa" w:w="70"/>
              <w:left w:type="dxa" w:w="110"/>
              <w:bottom w:type="dxa" w:w="70"/>
              <w:right w:type="dxa" w:w="110"/>
            </w:tcMar>
          </w:tcPr>
          <w:p>
            <w:pPr>
              <w:spacing w:after="0" w:line="250"/>
            </w:pPr>
            <w:r>
              <w:rPr>
                <w:rFonts w:ascii="Calibri" w:cs="Calibri" w:eastAsia="Calibri" w:hAnsi="Calibri"/>
                <w:sz w:val="19"/>
                <w:szCs w:val="19"/>
              </w:rPr>
              <w:t xml:space="preserve">Tabla larga: marca | dimensión | valor | mes | indicador | valor</w:t>
            </w:r>
          </w:p>
        </w:tc>
      </w:tr>
      <w:tr>
        <w:tc>
          <w:tcPr>
            <w:tcW w:type="dxa" w:w="2059"/>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Persistencia</w:t>
            </w:r>
          </w:p>
        </w:tc>
        <w:tc>
          <w:tcPr>
            <w:tcW w:type="dxa" w:w="7301"/>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IndexedDB acumulativa: el mes nuevo se fusiona con lo guardado. Sobreescribir es la regla, porque el SIM corrige cifras hacia atrás</w:t>
            </w:r>
          </w:p>
        </w:tc>
      </w:tr>
      <w:tr>
        <w:tc>
          <w:tcPr>
            <w:tcW w:type="dxa" w:w="2059"/>
            <w:tcMar>
              <w:top w:type="dxa" w:w="70"/>
              <w:left w:type="dxa" w:w="110"/>
              <w:bottom w:type="dxa" w:w="70"/>
              <w:right w:type="dxa" w:w="110"/>
            </w:tcMar>
          </w:tcPr>
          <w:p>
            <w:pPr>
              <w:spacing w:after="0" w:line="250"/>
            </w:pPr>
            <w:r>
              <w:rPr>
                <w:rFonts w:ascii="Calibri" w:cs="Calibri" w:eastAsia="Calibri" w:hAnsi="Calibri"/>
                <w:sz w:val="19"/>
                <w:szCs w:val="19"/>
              </w:rPr>
              <w:t xml:space="preserve">Agregados</w:t>
            </w:r>
          </w:p>
        </w:tc>
        <w:tc>
          <w:tcPr>
            <w:tcW w:type="dxa" w:w="7301"/>
            <w:tcMar>
              <w:top w:type="dxa" w:w="70"/>
              <w:left w:type="dxa" w:w="110"/>
              <w:bottom w:type="dxa" w:w="70"/>
              <w:right w:type="dxa" w:w="110"/>
            </w:tcMar>
          </w:tcPr>
          <w:p>
            <w:pPr>
              <w:spacing w:after="0" w:line="250"/>
            </w:pPr>
            <w:r>
              <w:rPr>
                <w:rFonts w:ascii="Calibri" w:cs="Calibri" w:eastAsia="Calibri" w:hAnsi="Calibri"/>
                <w:sz w:val="19"/>
                <w:szCs w:val="19"/>
              </w:rPr>
              <w:t xml:space="preserve">Precalculados al momento de la carga, no al pintar cada gráfico</w:t>
            </w:r>
          </w:p>
        </w:tc>
      </w:tr>
      <w:tr>
        <w:tc>
          <w:tcPr>
            <w:tcW w:type="dxa" w:w="2059"/>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Respaldo</w:t>
            </w:r>
          </w:p>
        </w:tc>
        <w:tc>
          <w:tcPr>
            <w:tcW w:type="dxa" w:w="7301"/>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Exportar e importar snapshot en JSON: si se limpia la caché se pierden tres años</w:t>
            </w:r>
          </w:p>
        </w:tc>
      </w:tr>
      <w:tr>
        <w:tc>
          <w:tcPr>
            <w:tcW w:type="dxa" w:w="2059"/>
            <w:tcMar>
              <w:top w:type="dxa" w:w="70"/>
              <w:left w:type="dxa" w:w="110"/>
              <w:bottom w:type="dxa" w:w="70"/>
              <w:right w:type="dxa" w:w="110"/>
            </w:tcMar>
          </w:tcPr>
          <w:p>
            <w:pPr>
              <w:spacing w:after="0" w:line="250"/>
            </w:pPr>
            <w:r>
              <w:rPr>
                <w:rFonts w:ascii="Calibri" w:cs="Calibri" w:eastAsia="Calibri" w:hAnsi="Calibri"/>
                <w:sz w:val="19"/>
                <w:szCs w:val="19"/>
              </w:rPr>
              <w:t xml:space="preserve">Salida</w:t>
            </w:r>
          </w:p>
        </w:tc>
        <w:tc>
          <w:tcPr>
            <w:tcW w:type="dxa" w:w="7301"/>
            <w:tcMar>
              <w:top w:type="dxa" w:w="70"/>
              <w:left w:type="dxa" w:w="110"/>
              <w:bottom w:type="dxa" w:w="70"/>
              <w:right w:type="dxa" w:w="110"/>
            </w:tcMar>
          </w:tcPr>
          <w:p>
            <w:pPr>
              <w:spacing w:after="0" w:line="250"/>
            </w:pPr>
            <w:r>
              <w:rPr>
                <w:rFonts w:ascii="Calibri" w:cs="Calibri" w:eastAsia="Calibri" w:hAnsi="Calibri"/>
                <w:sz w:val="19"/>
                <w:szCs w:val="19"/>
              </w:rPr>
              <w:t xml:space="preserve">Generación de las láminas para gerencia en un clic</w:t>
            </w:r>
          </w:p>
        </w:tc>
      </w:tr>
    </w:tbl>
    <w:p>
      <w:pPr>
        <w:spacing w:after="0"/>
      </w:pPr>
      <w:r>
        <w:rPr>
          <w:sz w:val="14"/>
          <w:szCs w:val="14"/>
        </w:rPr>
        <w:t xml:space="preserve"/>
      </w:r>
    </w:p>
    <w:p>
      <w:pPr>
        <w:pStyle w:val="Heading2"/>
        <w:spacing w:after="120" w:before="260"/>
      </w:pPr>
      <w:r>
        <w:rPr>
          <w:rFonts w:ascii="Calibri" w:cs="Calibri" w:eastAsia="Calibri" w:hAnsi="Calibri"/>
          <w:b/>
          <w:bCs/>
          <w:color w:val="1F4E79"/>
          <w:sz w:val="24"/>
          <w:szCs w:val="24"/>
        </w:rPr>
        <w:t xml:space="preserve">Sobre el volumen</w:t>
      </w:r>
    </w:p>
    <w:p>
      <w:pPr>
        <w:spacing w:after="120" w:line="276"/>
      </w:pPr>
      <w:r>
        <w:rPr>
          <w:rFonts w:ascii="Calibri" w:cs="Calibri" w:eastAsia="Calibri" w:hAnsi="Calibri"/>
          <w:sz w:val="21"/>
          <w:szCs w:val="21"/>
        </w:rPr>
        <w:t xml:space="preserve">Con 36 meses, el nivel artículo son unas 6.300 filas-mes y el nivel vendedor unas 27.000. El nivel cliente a 12 meses ronda las 200 a 300 mil. Todo manejable en el navegador siempre que las vistas lean agregados precalculados y no recorran el detalle crudo.</w:t>
      </w:r>
    </w:p>
    <w:p>
      <w:pPr>
        <w:spacing w:after="0"/>
      </w:pPr>
      <w:r>
        <w:rPr>
          <w:sz w:val="14"/>
          <w:szCs w:val="14"/>
        </w:rPr>
        <w:t xml:space="preserve"/>
      </w:r>
    </w:p>
    <w:tbl>
      <w:tblPr>
        <w:tblW w:type="dxa" w:w="9360"/>
        <w:tblBorders>
          <w:top w:val="single" w:color="D6DCE1" w:sz="2"/>
          <w:left w:val="single" w:color="C0504D" w:sz="18"/>
          <w:bottom w:val="single" w:color="D6DCE1" w:sz="2"/>
          <w:right w:val="single" w:color="D6DCE1" w:sz="2"/>
          <w:insideH w:val="single" w:color="D6DCE1" w:sz="2"/>
          <w:insideV w:val="single" w:color="D6DCE1" w:sz="2"/>
        </w:tblBorders>
      </w:tblPr>
      <w:tblGrid>
        <w:gridCol w:w="9360"/>
      </w:tblGrid>
      <w:tr>
        <w:tc>
          <w:tcPr>
            <w:tcW w:type="dxa" w:w="9360"/>
            <w:shd w:fill="F2F5F7" w:color="auto" w:val="clear"/>
            <w:tcMar>
              <w:top w:type="dxa" w:w="130"/>
              <w:left w:type="dxa" w:w="170"/>
              <w:bottom w:type="dxa" w:w="130"/>
              <w:right w:type="dxa" w:w="170"/>
            </w:tcMar>
          </w:tcPr>
          <w:p>
            <w:pPr>
              <w:spacing w:after="60"/>
            </w:pPr>
            <w:r>
              <w:rPr>
                <w:rFonts w:ascii="Calibri" w:cs="Calibri" w:eastAsia="Calibri" w:hAnsi="Calibri"/>
                <w:b/>
                <w:bCs/>
                <w:color w:val="C0504D"/>
                <w:sz w:val="20"/>
                <w:szCs w:val="20"/>
              </w:rPr>
              <w:t xml:space="preserve">Limitación de los prototipos</w:t>
            </w:r>
          </w:p>
          <w:p>
            <w:pPr>
              <w:spacing w:after="0" w:line="260"/>
            </w:pPr>
            <w:r>
              <w:rPr>
                <w:rFonts w:ascii="Calibri" w:cs="Calibri" w:eastAsia="Calibri" w:hAnsi="Calibri"/>
                <w:sz w:val="20"/>
                <w:szCs w:val="20"/>
              </w:rPr>
              <w:t xml:space="preserve">Los artifacts de Claude.ai no soportan IndexedDB ni localStorage: los prototipos mantienen todo en memoria y pierden los datos al cerrar. La persistencia se activa en el build real de Netlify, donde sí funciona. Es un cambio de una sola capa.</w:t>
            </w:r>
          </w:p>
        </w:tc>
      </w:tr>
    </w:tbl>
    <w:p>
      <w:r>
        <w:br w:type="page"/>
      </w:r>
    </w:p>
    <w:p>
      <w:pPr>
        <w:pStyle w:val="Heading1"/>
        <w:spacing w:after="160" w:before="360"/>
      </w:pPr>
      <w:r>
        <w:rPr>
          <w:rFonts w:ascii="Calibri" w:cs="Calibri" w:eastAsia="Calibri" w:hAnsi="Calibri"/>
          <w:b/>
          <w:bCs/>
          <w:color w:val="1F4E79"/>
          <w:sz w:val="30"/>
          <w:szCs w:val="30"/>
        </w:rPr>
        <w:t xml:space="preserve">9. Estructura del dashboard</w:t>
      </w:r>
    </w:p>
    <w:p>
      <w:pPr>
        <w:spacing w:after="120" w:line="276"/>
      </w:pPr>
      <w:r>
        <w:rPr>
          <w:rFonts w:ascii="Calibri" w:cs="Calibri" w:eastAsia="Calibri" w:hAnsi="Calibri"/>
          <w:sz w:val="21"/>
          <w:szCs w:val="21"/>
        </w:rPr>
        <w:t xml:space="preserve">El diseño acordado es modo oscuro ejecutivo, con siete pestañas. Los cuatro controles globales están en la barra superior y afectan a todas las pestañas.</w:t>
      </w:r>
    </w:p>
    <w:p>
      <w:pPr>
        <w:pStyle w:val="Heading2"/>
        <w:spacing w:after="120" w:before="260"/>
      </w:pPr>
      <w:r>
        <w:rPr>
          <w:rFonts w:ascii="Calibri" w:cs="Calibri" w:eastAsia="Calibri" w:hAnsi="Calibri"/>
          <w:b/>
          <w:bCs/>
          <w:color w:val="1F4E79"/>
          <w:sz w:val="24"/>
          <w:szCs w:val="24"/>
        </w:rPr>
        <w:t xml:space="preserve">Controles globales</w:t>
      </w:r>
    </w:p>
    <w:p>
      <w:pPr>
        <w:spacing w:after="0"/>
      </w:pPr>
      <w:r>
        <w:rPr>
          <w:sz w:val="14"/>
          <w:szCs w:val="14"/>
        </w:rPr>
        <w:t xml:space="preserve"/>
      </w:r>
    </w:p>
    <w:tbl>
      <w:tblPr>
        <w:tblW w:type="dxa" w:w="9360"/>
        <w:tblBorders>
          <w:top w:val="single" w:color="D6DCE1" w:sz="2"/>
          <w:left w:val="single" w:color="D6DCE1" w:sz="2"/>
          <w:bottom w:val="single" w:color="D6DCE1" w:sz="2"/>
          <w:right w:val="single" w:color="D6DCE1" w:sz="2"/>
          <w:insideH w:val="single" w:color="D6DCE1" w:sz="2"/>
          <w:insideV w:val="single" w:color="D6DCE1" w:sz="2"/>
        </w:tblBorders>
      </w:tblPr>
      <w:tblGrid>
        <w:gridCol w:w="2434"/>
        <w:gridCol w:w="6926"/>
      </w:tblGrid>
      <w:tr>
        <w:trPr>
          <w:tblHeader/>
        </w:trPr>
        <w:tc>
          <w:tcPr>
            <w:tcW w:type="dxa" w:w="2434"/>
            <w:shd w:fill="1F4E79"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Control</w:t>
            </w:r>
          </w:p>
        </w:tc>
        <w:tc>
          <w:tcPr>
            <w:tcW w:type="dxa" w:w="6926"/>
            <w:shd w:fill="1F4E79"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Qué hace</w:t>
            </w:r>
          </w:p>
        </w:tc>
      </w:tr>
      <w:tr>
        <w:tc>
          <w:tcPr>
            <w:tcW w:type="dxa" w:w="2434"/>
            <w:tcMar>
              <w:top w:type="dxa" w:w="70"/>
              <w:left w:type="dxa" w:w="110"/>
              <w:bottom w:type="dxa" w:w="70"/>
              <w:right w:type="dxa" w:w="110"/>
            </w:tcMar>
          </w:tcPr>
          <w:p>
            <w:pPr>
              <w:spacing w:after="0" w:line="250"/>
            </w:pPr>
            <w:r>
              <w:rPr>
                <w:rFonts w:ascii="Calibri" w:cs="Calibri" w:eastAsia="Calibri" w:hAnsi="Calibri"/>
                <w:sz w:val="19"/>
                <w:szCs w:val="19"/>
              </w:rPr>
              <w:t xml:space="preserve">excluirEPA</w:t>
            </w:r>
          </w:p>
        </w:tc>
        <w:tc>
          <w:tcPr>
            <w:tcW w:type="dxa" w:w="6926"/>
            <w:tcMar>
              <w:top w:type="dxa" w:w="70"/>
              <w:left w:type="dxa" w:w="110"/>
              <w:bottom w:type="dxa" w:w="70"/>
              <w:right w:type="dxa" w:w="110"/>
            </w:tcMar>
          </w:tcPr>
          <w:p>
            <w:pPr>
              <w:spacing w:after="0" w:line="250"/>
            </w:pPr>
            <w:r>
              <w:rPr>
                <w:rFonts w:ascii="Calibri" w:cs="Calibri" w:eastAsia="Calibri" w:hAnsi="Calibri"/>
                <w:sz w:val="19"/>
                <w:szCs w:val="19"/>
              </w:rPr>
              <w:t xml:space="preserve">Quita a Ferretería EPA de venta, pronósticos y rankings</w:t>
            </w:r>
          </w:p>
        </w:tc>
      </w:tr>
      <w:tr>
        <w:tc>
          <w:tcPr>
            <w:tcW w:type="dxa" w:w="2434"/>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periodo</w:t>
            </w:r>
          </w:p>
        </w:tc>
        <w:tc>
          <w:tcPr>
            <w:tcW w:type="dxa" w:w="6926"/>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Mes, último trimestre o año actual</w:t>
            </w:r>
          </w:p>
        </w:tc>
      </w:tr>
      <w:tr>
        <w:tc>
          <w:tcPr>
            <w:tcW w:type="dxa" w:w="2434"/>
            <w:tcMar>
              <w:top w:type="dxa" w:w="70"/>
              <w:left w:type="dxa" w:w="110"/>
              <w:bottom w:type="dxa" w:w="70"/>
              <w:right w:type="dxa" w:w="110"/>
            </w:tcMar>
          </w:tcPr>
          <w:p>
            <w:pPr>
              <w:spacing w:after="0" w:line="250"/>
            </w:pPr>
            <w:r>
              <w:rPr>
                <w:rFonts w:ascii="Calibri" w:cs="Calibri" w:eastAsia="Calibri" w:hAnsi="Calibri"/>
                <w:sz w:val="19"/>
                <w:szCs w:val="19"/>
              </w:rPr>
              <w:t xml:space="preserve">coberturaObjetivo</w:t>
            </w:r>
          </w:p>
        </w:tc>
        <w:tc>
          <w:tcPr>
            <w:tcW w:type="dxa" w:w="6926"/>
            <w:tcMar>
              <w:top w:type="dxa" w:w="70"/>
              <w:left w:type="dxa" w:w="110"/>
              <w:bottom w:type="dxa" w:w="70"/>
              <w:right w:type="dxa" w:w="110"/>
            </w:tcMar>
          </w:tcPr>
          <w:p>
            <w:pPr>
              <w:spacing w:after="0" w:line="250"/>
            </w:pPr>
            <w:r>
              <w:rPr>
                <w:rFonts w:ascii="Calibri" w:cs="Calibri" w:eastAsia="Calibri" w:hAnsi="Calibri"/>
                <w:sz w:val="19"/>
                <w:szCs w:val="19"/>
              </w:rPr>
              <w:t xml:space="preserve">Deslizador de 1 a 8 meses que recalcula los pedidos sugeridos en vivo</w:t>
            </w:r>
          </w:p>
        </w:tc>
      </w:tr>
      <w:tr>
        <w:tc>
          <w:tcPr>
            <w:tcW w:type="dxa" w:w="2434"/>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filtroArticulo</w:t>
            </w:r>
          </w:p>
        </w:tc>
        <w:tc>
          <w:tcPr>
            <w:tcW w:type="dxa" w:w="6926"/>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Selecciona un SKU para abrir su ficha individual</w:t>
            </w:r>
          </w:p>
        </w:tc>
      </w:tr>
    </w:tbl>
    <w:p>
      <w:pPr>
        <w:spacing w:after="0"/>
      </w:pPr>
      <w:r>
        <w:rPr>
          <w:sz w:val="14"/>
          <w:szCs w:val="14"/>
        </w:rPr>
        <w:t xml:space="preserve"/>
      </w:r>
    </w:p>
    <w:p>
      <w:pPr>
        <w:pStyle w:val="Heading2"/>
        <w:spacing w:after="120" w:before="260"/>
      </w:pPr>
      <w:r>
        <w:rPr>
          <w:rFonts w:ascii="Calibri" w:cs="Calibri" w:eastAsia="Calibri" w:hAnsi="Calibri"/>
          <w:b/>
          <w:bCs/>
          <w:color w:val="1F4E79"/>
          <w:sz w:val="24"/>
          <w:szCs w:val="24"/>
        </w:rPr>
        <w:t xml:space="preserve">Las siete pestañas</w:t>
      </w:r>
    </w:p>
    <w:p>
      <w:pPr>
        <w:pStyle w:val="Heading3"/>
        <w:spacing w:after="100" w:before="200"/>
      </w:pPr>
      <w:r>
        <w:rPr>
          <w:rFonts w:ascii="Calibri" w:cs="Calibri" w:eastAsia="Calibri" w:hAnsi="Calibri"/>
          <w:b/>
          <w:bCs/>
          <w:color w:val="2E5F8A"/>
          <w:sz w:val="21"/>
          <w:szCs w:val="21"/>
        </w:rPr>
        <w:t xml:space="preserve">1. Resumen ejecutivo</w:t>
      </w:r>
    </w:p>
    <w:p>
      <w:pPr>
        <w:spacing w:after="120" w:line="276"/>
      </w:pPr>
      <w:r>
        <w:rPr>
          <w:rFonts w:ascii="Calibri" w:cs="Calibri" w:eastAsia="Calibri" w:hAnsi="Calibri"/>
          <w:sz w:val="21"/>
          <w:szCs w:val="21"/>
        </w:rPr>
        <w:t xml:space="preserve">Seis KPIs: venta neta, margen bruto, contribución, activación de clientes, rotación y GMROI. Gráfico principal con el histórico completo más el pronóstico. Y un panel de lectura automática que interpreta los números en lenguaje de negocio, del tipo «crecimiento sano: sube en dólares y sostiene margen».</w:t>
      </w:r>
    </w:p>
    <w:p>
      <w:pPr>
        <w:pStyle w:val="Heading3"/>
        <w:spacing w:after="100" w:before="200"/>
      </w:pPr>
      <w:r>
        <w:rPr>
          <w:rFonts w:ascii="Calibri" w:cs="Calibri" w:eastAsia="Calibri" w:hAnsi="Calibri"/>
          <w:b/>
          <w:bCs/>
          <w:color w:val="2E5F8A"/>
          <w:sz w:val="21"/>
          <w:szCs w:val="21"/>
        </w:rPr>
        <w:t xml:space="preserve">2. Top rankings</w:t>
      </w:r>
    </w:p>
    <w:p>
      <w:pPr>
        <w:spacing w:after="120" w:line="276"/>
      </w:pPr>
      <w:r>
        <w:rPr>
          <w:rFonts w:ascii="Calibri" w:cs="Calibri" w:eastAsia="Calibri" w:hAnsi="Calibri"/>
          <w:sz w:val="21"/>
          <w:szCs w:val="21"/>
        </w:rPr>
        <w:t xml:space="preserve">Artículos, supervisores y clientes, con barras de participación. Los clientes llevan una insignia para EPA. Cada artículo del ranking es clicable y lleva a su ficha.</w:t>
      </w:r>
    </w:p>
    <w:p>
      <w:pPr>
        <w:pStyle w:val="Heading3"/>
        <w:spacing w:after="100" w:before="200"/>
      </w:pPr>
      <w:r>
        <w:rPr>
          <w:rFonts w:ascii="Calibri" w:cs="Calibri" w:eastAsia="Calibri" w:hAnsi="Calibri"/>
          <w:b/>
          <w:bCs/>
          <w:color w:val="2E5F8A"/>
          <w:sz w:val="21"/>
          <w:szCs w:val="21"/>
        </w:rPr>
        <w:t xml:space="preserve">3. Ficha 360° por producto</w:t>
      </w:r>
    </w:p>
    <w:p>
      <w:pPr>
        <w:spacing w:after="120" w:line="276"/>
      </w:pPr>
      <w:r>
        <w:rPr>
          <w:rFonts w:ascii="Calibri" w:cs="Calibri" w:eastAsia="Calibri" w:hAnsi="Calibri"/>
          <w:sz w:val="21"/>
          <w:szCs w:val="21"/>
        </w:rPr>
        <w:t xml:space="preserve">Buscador de SKU. Al elegir uno muestra venta del período en dólares y unidades, stock disponible, tránsito, cobertura en meses, pedido sugerido con su peso equivalente en kilos, el desglose paso a paso del cálculo, y un gráfico de tendencia propio de ese artículo.</w:t>
      </w:r>
    </w:p>
    <w:p>
      <w:pPr>
        <w:pStyle w:val="Heading3"/>
        <w:spacing w:after="100" w:before="200"/>
      </w:pPr>
      <w:r>
        <w:rPr>
          <w:rFonts w:ascii="Calibri" w:cs="Calibri" w:eastAsia="Calibri" w:hAnsi="Calibri"/>
          <w:b/>
          <w:bCs/>
          <w:color w:val="2E5F8A"/>
          <w:sz w:val="21"/>
          <w:szCs w:val="21"/>
        </w:rPr>
        <w:t xml:space="preserve">4. Sugerido de compra y cobertura</w:t>
      </w:r>
    </w:p>
    <w:p>
      <w:pPr>
        <w:spacing w:after="120" w:line="276"/>
      </w:pPr>
      <w:r>
        <w:rPr>
          <w:rFonts w:ascii="Calibri" w:cs="Calibri" w:eastAsia="Calibri" w:hAnsi="Calibri"/>
          <w:sz w:val="21"/>
          <w:szCs w:val="21"/>
        </w:rPr>
        <w:t xml:space="preserve">Tabla de todos los artículos con semáforo de riesgo:</w:t>
      </w:r>
    </w:p>
    <w:p>
      <w:pPr>
        <w:pStyle w:val="ListParagraph"/>
        <w:numPr>
          <w:ilvl w:val="0"/>
          <w:numId w:val="2"/>
        </w:numPr>
        <w:spacing w:after="80" w:line="276"/>
      </w:pPr>
      <w:r>
        <w:rPr>
          <w:rFonts w:ascii="Calibri" w:cs="Calibri" w:eastAsia="Calibri" w:hAnsi="Calibri"/>
          <w:sz w:val="21"/>
          <w:szCs w:val="21"/>
        </w:rPr>
        <w:t xml:space="preserve">Rojo: menos de 1,5 meses de cobertura, riesgo de quiebre.</w:t>
      </w:r>
    </w:p>
    <w:p>
      <w:pPr>
        <w:pStyle w:val="ListParagraph"/>
        <w:numPr>
          <w:ilvl w:val="0"/>
          <w:numId w:val="2"/>
        </w:numPr>
        <w:spacing w:after="80" w:line="276"/>
      </w:pPr>
      <w:r>
        <w:rPr>
          <w:rFonts w:ascii="Calibri" w:cs="Calibri" w:eastAsia="Calibri" w:hAnsi="Calibri"/>
          <w:sz w:val="21"/>
          <w:szCs w:val="21"/>
        </w:rPr>
        <w:t xml:space="preserve">Verde: dentro de medio mes de la cobertura objetivo.</w:t>
      </w:r>
    </w:p>
    <w:p>
      <w:pPr>
        <w:pStyle w:val="ListParagraph"/>
        <w:numPr>
          <w:ilvl w:val="0"/>
          <w:numId w:val="2"/>
        </w:numPr>
        <w:spacing w:after="80" w:line="276"/>
      </w:pPr>
      <w:r>
        <w:rPr>
          <w:rFonts w:ascii="Calibri" w:cs="Calibri" w:eastAsia="Calibri" w:hAnsi="Calibri"/>
          <w:sz w:val="21"/>
          <w:szCs w:val="21"/>
        </w:rPr>
        <w:t xml:space="preserve">Ámbar: más de 1,5 meses por encima del objetivo, inventario dormido.</w:t>
      </w:r>
    </w:p>
    <w:p>
      <w:pPr>
        <w:spacing w:after="120" w:line="276"/>
      </w:pPr>
      <w:r>
        <w:rPr>
          <w:rFonts w:ascii="Calibri" w:cs="Calibri" w:eastAsia="Calibri" w:hAnsi="Calibri"/>
          <w:sz w:val="21"/>
          <w:szCs w:val="21"/>
        </w:rPr>
        <w:t xml:space="preserve">El deslizador de cobertura recalcula la tabla y los umbrales del semáforo al momento.</w:t>
      </w:r>
    </w:p>
    <w:p>
      <w:pPr>
        <w:pStyle w:val="Heading3"/>
        <w:spacing w:after="100" w:before="200"/>
      </w:pPr>
      <w:r>
        <w:rPr>
          <w:rFonts w:ascii="Calibri" w:cs="Calibri" w:eastAsia="Calibri" w:hAnsi="Calibri"/>
          <w:b/>
          <w:bCs/>
          <w:color w:val="2E5F8A"/>
          <w:sz w:val="21"/>
          <w:szCs w:val="21"/>
        </w:rPr>
        <w:t xml:space="preserve">5. Motor de pronósticos</w:t>
      </w:r>
    </w:p>
    <w:p>
      <w:pPr>
        <w:spacing w:after="120" w:line="276"/>
      </w:pPr>
      <w:r>
        <w:rPr>
          <w:rFonts w:ascii="Calibri" w:cs="Calibri" w:eastAsia="Calibri" w:hAnsi="Calibri"/>
          <w:sz w:val="21"/>
          <w:szCs w:val="21"/>
        </w:rPr>
        <w:t xml:space="preserve">Compara la proyección con y sin EPA en el mismo gráfico, muestra cuál de los cuatro métodos está en uso según la historia disponible, y explica visualmente por qué EPA distorsiona.</w:t>
      </w:r>
    </w:p>
    <w:p>
      <w:pPr>
        <w:pStyle w:val="Heading3"/>
        <w:spacing w:after="100" w:before="200"/>
      </w:pPr>
      <w:r>
        <w:rPr>
          <w:rFonts w:ascii="Calibri" w:cs="Calibri" w:eastAsia="Calibri" w:hAnsi="Calibri"/>
          <w:b/>
          <w:bCs/>
          <w:color w:val="2E5F8A"/>
          <w:sz w:val="21"/>
          <w:szCs w:val="21"/>
        </w:rPr>
        <w:t xml:space="preserve">6. Exportador de cierre mensual</w:t>
      </w:r>
    </w:p>
    <w:p>
      <w:pPr>
        <w:spacing w:after="120" w:line="276"/>
      </w:pPr>
      <w:r>
        <w:rPr>
          <w:rFonts w:ascii="Calibri" w:cs="Calibri" w:eastAsia="Calibri" w:hAnsi="Calibri"/>
          <w:sz w:val="21"/>
          <w:szCs w:val="21"/>
        </w:rPr>
        <w:t xml:space="preserve">Cinco láminas con el formato que pide la gerencia: contexto de la marca, plan inicial y compromiso, resultados con los seis KPIs, subcategorías y artículos principales con señales de alerta, y comentarios con plan de acción (responsable, meta, fecha y prioridad A/M/B).</w:t>
      </w:r>
    </w:p>
    <w:p>
      <w:pPr>
        <w:spacing w:after="120" w:line="276"/>
      </w:pPr>
      <w:r>
        <w:rPr>
          <w:rFonts w:ascii="Calibri" w:cs="Calibri" w:eastAsia="Calibri" w:hAnsi="Calibri"/>
          <w:sz w:val="21"/>
          <w:szCs w:val="21"/>
        </w:rPr>
        <w:t xml:space="preserve">El plan de acción se arma solo: cuenta cuántos artículos están en riesgo y cuántos dormidos con la cobertura configurada.</w:t>
      </w:r>
    </w:p>
    <w:p>
      <w:pPr>
        <w:pStyle w:val="Heading3"/>
        <w:spacing w:after="100" w:before="200"/>
      </w:pPr>
      <w:r>
        <w:rPr>
          <w:rFonts w:ascii="Calibri" w:cs="Calibri" w:eastAsia="Calibri" w:hAnsi="Calibri"/>
          <w:b/>
          <w:bCs/>
          <w:color w:val="2E5F8A"/>
          <w:sz w:val="21"/>
          <w:szCs w:val="21"/>
        </w:rPr>
        <w:t xml:space="preserve">7. Estado de carga del SIM</w:t>
      </w:r>
    </w:p>
    <w:p>
      <w:pPr>
        <w:spacing w:after="120" w:line="276"/>
      </w:pPr>
      <w:r>
        <w:rPr>
          <w:rFonts w:ascii="Calibri" w:cs="Calibri" w:eastAsia="Calibri" w:hAnsi="Calibri"/>
          <w:sz w:val="21"/>
          <w:szCs w:val="21"/>
        </w:rPr>
        <w:t xml:space="preserve">Monitor de los archivos cargados, con el corte detectado, la máscara, los meses y si la exportación vino truncada. Esto último es clave: sin un aviso visible, un archivo truncado muestra ceros en silencio y nadie se entera.</w:t>
      </w:r>
    </w:p>
    <w:p>
      <w:r>
        <w:br w:type="page"/>
      </w:r>
    </w:p>
    <w:p>
      <w:pPr>
        <w:pStyle w:val="Heading1"/>
        <w:spacing w:after="160" w:before="360"/>
      </w:pPr>
      <w:r>
        <w:rPr>
          <w:rFonts w:ascii="Calibri" w:cs="Calibri" w:eastAsia="Calibri" w:hAnsi="Calibri"/>
          <w:b/>
          <w:bCs/>
          <w:color w:val="1F4E79"/>
          <w:sz w:val="30"/>
          <w:szCs w:val="30"/>
        </w:rPr>
        <w:t xml:space="preserve">10. Qué está hecho y qué falta</w:t>
      </w:r>
    </w:p>
    <w:p>
      <w:pPr>
        <w:pStyle w:val="Heading2"/>
        <w:spacing w:after="120" w:before="260"/>
      </w:pPr>
      <w:r>
        <w:rPr>
          <w:rFonts w:ascii="Calibri" w:cs="Calibri" w:eastAsia="Calibri" w:hAnsi="Calibri"/>
          <w:b/>
          <w:bCs/>
          <w:color w:val="1F4E79"/>
          <w:sz w:val="24"/>
          <w:szCs w:val="24"/>
        </w:rPr>
        <w:t xml:space="preserve">Hecho</w:t>
      </w:r>
    </w:p>
    <w:p>
      <w:pPr>
        <w:pStyle w:val="ListParagraph"/>
        <w:numPr>
          <w:ilvl w:val="0"/>
          <w:numId w:val="2"/>
        </w:numPr>
        <w:spacing w:after="80" w:line="276"/>
      </w:pPr>
      <w:r>
        <w:rPr>
          <w:rFonts w:ascii="Calibri" w:cs="Calibri" w:eastAsia="Calibri" w:hAnsi="Calibri"/>
          <w:sz w:val="21"/>
          <w:szCs w:val="21"/>
        </w:rPr>
        <w:t xml:space="preserve">Análisis completo de los archivos reales del SIM y del infocompras.</w:t>
      </w:r>
    </w:p>
    <w:p>
      <w:pPr>
        <w:pStyle w:val="ListParagraph"/>
        <w:numPr>
          <w:ilvl w:val="0"/>
          <w:numId w:val="2"/>
        </w:numPr>
        <w:spacing w:after="80" w:line="276"/>
      </w:pPr>
      <w:r>
        <w:rPr>
          <w:rFonts w:ascii="Calibri" w:cs="Calibri" w:eastAsia="Calibri" w:hAnsi="Calibri"/>
          <w:sz w:val="21"/>
          <w:szCs w:val="21"/>
        </w:rPr>
        <w:t xml:space="preserve">Definición de las nueve descargas, validadas contra los totales de la marca.</w:t>
      </w:r>
    </w:p>
    <w:p>
      <w:pPr>
        <w:pStyle w:val="ListParagraph"/>
        <w:numPr>
          <w:ilvl w:val="0"/>
          <w:numId w:val="2"/>
        </w:numPr>
        <w:spacing w:after="80" w:line="276"/>
      </w:pPr>
      <w:r>
        <w:rPr>
          <w:rFonts w:ascii="Calibri" w:cs="Calibri" w:eastAsia="Calibri" w:hAnsi="Calibri"/>
          <w:sz w:val="21"/>
          <w:szCs w:val="21"/>
        </w:rPr>
        <w:t xml:space="preserve">Prototipo con parser funcional: lee los .xlsx del SIM, los detecta solo, normaliza y calcula.</w:t>
      </w:r>
    </w:p>
    <w:p>
      <w:pPr>
        <w:pStyle w:val="ListParagraph"/>
        <w:numPr>
          <w:ilvl w:val="0"/>
          <w:numId w:val="2"/>
        </w:numPr>
        <w:spacing w:after="80" w:line="276"/>
      </w:pPr>
      <w:r>
        <w:rPr>
          <w:rFonts w:ascii="Calibri" w:cs="Calibri" w:eastAsia="Calibri" w:hAnsi="Calibri"/>
          <w:sz w:val="21"/>
          <w:szCs w:val="21"/>
        </w:rPr>
        <w:t xml:space="preserve">Prototipo ejecutivo de siete pestañas con los datos reales de PCP y el motor de pronósticos corriendo en el navegador.</w:t>
      </w:r>
    </w:p>
    <w:p>
      <w:pPr>
        <w:pStyle w:val="Heading2"/>
        <w:spacing w:after="120" w:before="260"/>
      </w:pPr>
      <w:r>
        <w:rPr>
          <w:rFonts w:ascii="Calibri" w:cs="Calibri" w:eastAsia="Calibri" w:hAnsi="Calibri"/>
          <w:b/>
          <w:bCs/>
          <w:color w:val="1F4E79"/>
          <w:sz w:val="24"/>
          <w:szCs w:val="24"/>
        </w:rPr>
        <w:t xml:space="preserve">Falta</w:t>
      </w:r>
    </w:p>
    <w:p>
      <w:pPr>
        <w:pStyle w:val="ListParagraph"/>
        <w:numPr>
          <w:ilvl w:val="0"/>
          <w:numId w:val="3"/>
        </w:numPr>
        <w:spacing w:after="80" w:line="276"/>
      </w:pPr>
      <w:r>
        <w:rPr>
          <w:rFonts w:ascii="Calibri" w:cs="Calibri" w:eastAsia="Calibri" w:hAnsi="Calibri"/>
          <w:sz w:val="21"/>
          <w:szCs w:val="21"/>
        </w:rPr>
        <w:t xml:space="preserve">Unir ambos prototipos: el diseño ejecutivo alimentado por el parser.</w:t>
      </w:r>
    </w:p>
    <w:p>
      <w:pPr>
        <w:pStyle w:val="ListParagraph"/>
        <w:numPr>
          <w:ilvl w:val="0"/>
          <w:numId w:val="3"/>
        </w:numPr>
        <w:spacing w:after="80" w:line="276"/>
      </w:pPr>
      <w:r>
        <w:rPr>
          <w:rFonts w:ascii="Calibri" w:cs="Calibri" w:eastAsia="Calibri" w:hAnsi="Calibri"/>
          <w:sz w:val="21"/>
          <w:szCs w:val="21"/>
        </w:rPr>
        <w:t xml:space="preserve">Persistencia en IndexedDB, con fusión incremental por mes y exportación de respaldo.</w:t>
      </w:r>
    </w:p>
    <w:p>
      <w:pPr>
        <w:pStyle w:val="ListParagraph"/>
        <w:numPr>
          <w:ilvl w:val="0"/>
          <w:numId w:val="3"/>
        </w:numPr>
        <w:spacing w:after="80" w:line="276"/>
      </w:pPr>
      <w:r>
        <w:rPr>
          <w:rFonts w:ascii="Calibri" w:cs="Calibri" w:eastAsia="Calibri" w:hAnsi="Calibri"/>
          <w:sz w:val="21"/>
          <w:szCs w:val="21"/>
        </w:rPr>
        <w:t xml:space="preserve">Modo multimarca: hoy el piloto es solo PCP.</w:t>
      </w:r>
    </w:p>
    <w:p>
      <w:pPr>
        <w:pStyle w:val="ListParagraph"/>
        <w:numPr>
          <w:ilvl w:val="0"/>
          <w:numId w:val="3"/>
        </w:numPr>
        <w:spacing w:after="80" w:line="276"/>
      </w:pPr>
      <w:r>
        <w:rPr>
          <w:rFonts w:ascii="Calibri" w:cs="Calibri" w:eastAsia="Calibri" w:hAnsi="Calibri"/>
          <w:sz w:val="21"/>
          <w:szCs w:val="21"/>
        </w:rPr>
        <w:t xml:space="preserve">Generación de .pptx nativo (necesita la librería pptxgenjs; los prototipos entregan HTML apaisado imprimible a PDF).</w:t>
      </w:r>
    </w:p>
    <w:p>
      <w:pPr>
        <w:pStyle w:val="ListParagraph"/>
        <w:numPr>
          <w:ilvl w:val="0"/>
          <w:numId w:val="3"/>
        </w:numPr>
        <w:spacing w:after="80" w:line="276"/>
      </w:pPr>
      <w:r>
        <w:rPr>
          <w:rFonts w:ascii="Calibri" w:cs="Calibri" w:eastAsia="Calibri" w:hAnsi="Calibri"/>
          <w:sz w:val="21"/>
          <w:szCs w:val="21"/>
        </w:rPr>
        <w:t xml:space="preserve">Migración posterior a base de datos, cuando deje de ser un demo.</w:t>
      </w:r>
    </w:p>
    <w:p>
      <w:r>
        <w:br w:type="page"/>
      </w:r>
    </w:p>
    <w:p>
      <w:pPr>
        <w:pStyle w:val="Heading1"/>
        <w:spacing w:after="160" w:before="360"/>
      </w:pPr>
      <w:r>
        <w:rPr>
          <w:rFonts w:ascii="Calibri" w:cs="Calibri" w:eastAsia="Calibri" w:hAnsi="Calibri"/>
          <w:b/>
          <w:bCs/>
          <w:color w:val="1F4E79"/>
          <w:sz w:val="30"/>
          <w:szCs w:val="30"/>
        </w:rPr>
        <w:t xml:space="preserve">11. Pendientes por confirmar con Febeca</w:t>
      </w:r>
    </w:p>
    <w:p>
      <w:pPr>
        <w:spacing w:after="120" w:line="276"/>
      </w:pPr>
      <w:r>
        <w:rPr>
          <w:rFonts w:ascii="Calibri" w:cs="Calibri" w:eastAsia="Calibri" w:hAnsi="Calibri"/>
          <w:sz w:val="21"/>
          <w:szCs w:val="21"/>
        </w:rPr>
        <w:t xml:space="preserve">Ninguno de estos bloquea el desarrollo, pero todos afectan a la confianza en los números.</w:t>
      </w:r>
    </w:p>
    <w:p>
      <w:pPr>
        <w:spacing w:after="0"/>
      </w:pPr>
      <w:r>
        <w:rPr>
          <w:sz w:val="14"/>
          <w:szCs w:val="14"/>
        </w:rPr>
        <w:t xml:space="preserve"/>
      </w:r>
    </w:p>
    <w:tbl>
      <w:tblPr>
        <w:tblW w:type="dxa" w:w="9360"/>
        <w:tblBorders>
          <w:top w:val="single" w:color="D6DCE1" w:sz="2"/>
          <w:left w:val="single" w:color="D6DCE1" w:sz="2"/>
          <w:bottom w:val="single" w:color="D6DCE1" w:sz="2"/>
          <w:right w:val="single" w:color="D6DCE1" w:sz="2"/>
          <w:insideH w:val="single" w:color="D6DCE1" w:sz="2"/>
          <w:insideV w:val="single" w:color="D6DCE1" w:sz="2"/>
        </w:tblBorders>
      </w:tblPr>
      <w:tblGrid>
        <w:gridCol w:w="2434"/>
        <w:gridCol w:w="6926"/>
      </w:tblGrid>
      <w:tr>
        <w:trPr>
          <w:tblHeader/>
        </w:trPr>
        <w:tc>
          <w:tcPr>
            <w:tcW w:type="dxa" w:w="2434"/>
            <w:shd w:fill="1F4E79"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Tema</w:t>
            </w:r>
          </w:p>
        </w:tc>
        <w:tc>
          <w:tcPr>
            <w:tcW w:type="dxa" w:w="6926"/>
            <w:shd w:fill="1F4E79"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Qué hay que averiguar</w:t>
            </w:r>
          </w:p>
        </w:tc>
      </w:tr>
      <w:tr>
        <w:tc>
          <w:tcPr>
            <w:tcW w:type="dxa" w:w="2434"/>
            <w:tcMar>
              <w:top w:type="dxa" w:w="70"/>
              <w:left w:type="dxa" w:w="110"/>
              <w:bottom w:type="dxa" w:w="70"/>
              <w:right w:type="dxa" w:w="110"/>
            </w:tcMar>
          </w:tcPr>
          <w:p>
            <w:pPr>
              <w:spacing w:after="0" w:line="250"/>
            </w:pPr>
            <w:r>
              <w:rPr>
                <w:rFonts w:ascii="Calibri" w:cs="Calibri" w:eastAsia="Calibri" w:hAnsi="Calibri"/>
                <w:sz w:val="19"/>
                <w:szCs w:val="19"/>
              </w:rPr>
              <w:t xml:space="preserve">Vendedores que suman de más</w:t>
            </w:r>
          </w:p>
        </w:tc>
        <w:tc>
          <w:tcPr>
            <w:tcW w:type="dxa" w:w="6926"/>
            <w:tcMar>
              <w:top w:type="dxa" w:w="70"/>
              <w:left w:type="dxa" w:w="110"/>
              <w:bottom w:type="dxa" w:w="70"/>
              <w:right w:type="dxa" w:w="110"/>
            </w:tcMar>
          </w:tcPr>
          <w:p>
            <w:pPr>
              <w:spacing w:after="0" w:line="250"/>
            </w:pPr>
            <w:r>
              <w:rPr>
                <w:rFonts w:ascii="Calibri" w:cs="Calibri" w:eastAsia="Calibri" w:hAnsi="Calibri"/>
                <w:sz w:val="19"/>
                <w:szCs w:val="19"/>
              </w:rPr>
              <w:t xml:space="preserve">Los 739 vendedores dan $157.550 en agosto contra $145.696 del total de la marca: un 8% de exceso. Podrían ser transferencias o notas de crédito contabilizadas aparte.</w:t>
            </w:r>
          </w:p>
        </w:tc>
      </w:tr>
      <w:tr>
        <w:tc>
          <w:tcPr>
            <w:tcW w:type="dxa" w:w="2434"/>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Stock contra tránsito</w:t>
            </w:r>
          </w:p>
        </w:tc>
        <w:tc>
          <w:tcPr>
            <w:tcW w:type="dxa" w:w="6926"/>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DISP suma 18.242 unidades y TRANSITO 379.608: veinte veces más en camino que en almacén. En dólares el ratio cuadra, pero hay que confirmar que ambas columnas usan la misma unidad de medida.</w:t>
            </w:r>
          </w:p>
        </w:tc>
      </w:tr>
      <w:tr>
        <w:tc>
          <w:tcPr>
            <w:tcW w:type="dxa" w:w="2434"/>
            <w:tcMar>
              <w:top w:type="dxa" w:w="70"/>
              <w:left w:type="dxa" w:w="110"/>
              <w:bottom w:type="dxa" w:w="70"/>
              <w:right w:type="dxa" w:w="110"/>
            </w:tcMar>
          </w:tcPr>
          <w:p>
            <w:pPr>
              <w:spacing w:after="0" w:line="250"/>
            </w:pPr>
            <w:r>
              <w:rPr>
                <w:rFonts w:ascii="Calibri" w:cs="Calibri" w:eastAsia="Calibri" w:hAnsi="Calibri"/>
                <w:sz w:val="19"/>
                <w:szCs w:val="19"/>
              </w:rPr>
              <w:t xml:space="preserve">Factor de peso</w:t>
            </w:r>
          </w:p>
        </w:tc>
        <w:tc>
          <w:tcPr>
            <w:tcW w:type="dxa" w:w="6926"/>
            <w:tcMar>
              <w:top w:type="dxa" w:w="70"/>
              <w:left w:type="dxa" w:w="110"/>
              <w:bottom w:type="dxa" w:w="70"/>
              <w:right w:type="dxa" w:w="110"/>
            </w:tcMar>
          </w:tcPr>
          <w:p>
            <w:pPr>
              <w:spacing w:after="0" w:line="250"/>
            </w:pPr>
            <w:r>
              <w:rPr>
                <w:rFonts w:ascii="Calibri" w:cs="Calibri" w:eastAsia="Calibri" w:hAnsi="Calibri"/>
                <w:sz w:val="19"/>
                <w:szCs w:val="19"/>
              </w:rPr>
              <w:t xml:space="preserve">2,39 kg por unidad para un artículo promedio de $1,66 parece alto. Verificar que la máscara de toneladas mida el mismo universo que la de unidades.</w:t>
            </w:r>
          </w:p>
        </w:tc>
      </w:tr>
      <w:tr>
        <w:tc>
          <w:tcPr>
            <w:tcW w:type="dxa" w:w="2434"/>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Lead time de otras marcas</w:t>
            </w:r>
          </w:p>
        </w:tc>
        <w:tc>
          <w:tcPr>
            <w:tcW w:type="dxa" w:w="6926"/>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Solo está confirmado el de PCP: compra mensual, 45 días de tránsito.</w:t>
            </w:r>
          </w:p>
        </w:tc>
      </w:tr>
      <w:tr>
        <w:tc>
          <w:tcPr>
            <w:tcW w:type="dxa" w:w="2434"/>
            <w:tcMar>
              <w:top w:type="dxa" w:w="70"/>
              <w:left w:type="dxa" w:w="110"/>
              <w:bottom w:type="dxa" w:w="70"/>
              <w:right w:type="dxa" w:w="110"/>
            </w:tcMar>
          </w:tcPr>
          <w:p>
            <w:pPr>
              <w:spacing w:after="0" w:line="250"/>
            </w:pPr>
            <w:r>
              <w:rPr>
                <w:rFonts w:ascii="Calibri" w:cs="Calibri" w:eastAsia="Calibri" w:hAnsi="Calibri"/>
                <w:sz w:val="19"/>
                <w:szCs w:val="19"/>
              </w:rPr>
              <w:t xml:space="preserve">Artículos sin movimiento</w:t>
            </w:r>
          </w:p>
        </w:tc>
        <w:tc>
          <w:tcPr>
            <w:tcW w:type="dxa" w:w="6926"/>
            <w:tcMar>
              <w:top w:type="dxa" w:w="70"/>
              <w:left w:type="dxa" w:w="110"/>
              <w:bottom w:type="dxa" w:w="70"/>
              <w:right w:type="dxa" w:w="110"/>
            </w:tcMar>
          </w:tcPr>
          <w:p>
            <w:pPr>
              <w:spacing w:after="0" w:line="250"/>
            </w:pPr>
            <w:r>
              <w:rPr>
                <w:rFonts w:ascii="Calibri" w:cs="Calibri" w:eastAsia="Calibri" w:hAnsi="Calibri"/>
                <w:sz w:val="19"/>
                <w:szCs w:val="19"/>
              </w:rPr>
              <w:t xml:space="preserve">El SIM lista 173 artículos y el infocompras 80. ¿Los 93 restantes se muestran o se esconden?</w:t>
            </w:r>
          </w:p>
        </w:tc>
      </w:tr>
      <w:tr>
        <w:tc>
          <w:tcPr>
            <w:tcW w:type="dxa" w:w="2434"/>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Duplicados de clientes</w:t>
            </w:r>
          </w:p>
        </w:tc>
        <w:tc>
          <w:tcPr>
            <w:tcW w:type="dxa" w:w="6926"/>
            <w:shd w:fill="F2F5F7"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EPA aparece con tres razones sociales y solo una tiene datos. Probablemente haya más casos en el maestro.</w:t>
            </w:r>
          </w:p>
        </w:tc>
      </w:tr>
      <w:tr>
        <w:tc>
          <w:tcPr>
            <w:tcW w:type="dxa" w:w="2434"/>
            <w:tcMar>
              <w:top w:type="dxa" w:w="70"/>
              <w:left w:type="dxa" w:w="110"/>
              <w:bottom w:type="dxa" w:w="70"/>
              <w:right w:type="dxa" w:w="110"/>
            </w:tcMar>
          </w:tcPr>
          <w:p>
            <w:pPr>
              <w:spacing w:after="0" w:line="250"/>
            </w:pPr>
            <w:r>
              <w:rPr>
                <w:rFonts w:ascii="Calibri" w:cs="Calibri" w:eastAsia="Calibri" w:hAnsi="Calibri"/>
                <w:sz w:val="19"/>
                <w:szCs w:val="19"/>
              </w:rPr>
              <w:t xml:space="preserve">Alcance del «NO CLASIFICADO»</w:t>
            </w:r>
          </w:p>
        </w:tc>
        <w:tc>
          <w:tcPr>
            <w:tcW w:type="dxa" w:w="6926"/>
            <w:tcMar>
              <w:top w:type="dxa" w:w="70"/>
              <w:left w:type="dxa" w:w="110"/>
              <w:bottom w:type="dxa" w:w="70"/>
              <w:right w:type="dxa" w:w="110"/>
            </w:tcMar>
          </w:tcPr>
          <w:p>
            <w:pPr>
              <w:spacing w:after="0" w:line="250"/>
            </w:pPr>
            <w:r>
              <w:rPr>
                <w:rFonts w:ascii="Calibri" w:cs="Calibri" w:eastAsia="Calibri" w:hAnsi="Calibri"/>
                <w:sz w:val="19"/>
                <w:szCs w:val="19"/>
              </w:rPr>
              <w:t xml:space="preserve">Verificar si el problema de asignación de vendedor afecta a otras marcas además de PCP.</w:t>
            </w:r>
          </w:p>
        </w:tc>
      </w:tr>
    </w:tbl>
    <w:p>
      <w:pPr>
        <w:spacing w:after="0"/>
      </w:pPr>
      <w:r>
        <w:rPr>
          <w:sz w:val="14"/>
          <w:szCs w:val="14"/>
        </w:rPr>
        <w:t xml:space="preserve"/>
      </w:r>
    </w:p>
    <w:p>
      <w:pPr>
        <w:spacing w:after="0"/>
      </w:pPr>
      <w:r>
        <w:rPr>
          <w:sz w:val="14"/>
          <w:szCs w:val="14"/>
        </w:rPr>
        <w:t xml:space="preserve"/>
      </w:r>
    </w:p>
    <w:p>
      <w:pPr>
        <w:spacing w:after="120" w:line="276"/>
        <w:jc w:val="center"/>
      </w:pPr>
      <w:r>
        <w:rPr>
          <w:rFonts w:ascii="Calibri" w:cs="Calibri" w:eastAsia="Calibri" w:hAnsi="Calibri"/>
          <w:i/>
          <w:iCs/>
          <w:color w:val="5A6B75"/>
          <w:sz w:val="21"/>
          <w:szCs w:val="21"/>
        </w:rPr>
        <w:t xml:space="preserve">Fin del documento.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431" w:hanging="259"/>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Dashboard Inteligente de Compras — Especificación técnica</dc:title>
  <dc:creator>Febeca · Departamento de Compras</dc:creator>
  <cp:lastModifiedBy>Un-named</cp:lastModifiedBy>
  <cp:revision>1</cp:revision>
  <dcterms:created xsi:type="dcterms:W3CDTF">2026-09-15T01:34:36.484Z</dcterms:created>
  <dcterms:modified xsi:type="dcterms:W3CDTF">2026-09-15T01:34:36.484Z</dcterms:modified>
</cp:coreProperties>
</file>

<file path=docProps/custom.xml><?xml version="1.0" encoding="utf-8"?>
<Properties xmlns="http://schemas.openxmlformats.org/officeDocument/2006/custom-properties" xmlns:vt="http://schemas.openxmlformats.org/officeDocument/2006/docPropsVTypes"/>
</file>