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  <w:jc w:val="right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Alexander Quintero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id: 2372644</w:t>
      </w:r>
    </w:p>
    <w:p w:rsidR="00000000" w:rsidDel="00000000" w:rsidP="00000000" w:rsidRDefault="00000000" w:rsidRPr="00000000">
      <w:pPr>
        <w:pStyle w:val="Heading3"/>
        <w:spacing w:after="160" w:line="259" w:lineRule="auto"/>
        <w:contextualSpacing w:val="0"/>
      </w:pPr>
      <w:bookmarkStart w:colFirst="0" w:colLast="0" w:name="_7i90udyv7aa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Datasets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FG-NET Facial Aging Database: A database of 1002 face images of subjects at different ages. Images are in JPG format.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FVC2000 Fingerprint Databases - International Competition for Fingerprint Verification. Divided into four databases, there are 3520 fingerprints.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AR Face Database: 4000 color images of 126 people’s faces of both genders with different facial expressions illuminations and occlusions. Images are in RAW 24-bit format and are provided by the Purdue Robot Vision Lab.</w:t>
      </w:r>
    </w:p>
    <w:p w:rsidR="00000000" w:rsidDel="00000000" w:rsidP="00000000" w:rsidRDefault="00000000" w:rsidRPr="00000000">
      <w:pPr>
        <w:pStyle w:val="Heading3"/>
        <w:spacing w:after="160" w:line="259" w:lineRule="auto"/>
        <w:contextualSpacing w:val="0"/>
      </w:pPr>
      <w:bookmarkStart w:colFirst="0" w:colLast="0" w:name="_cf6lnb79oa58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Researchers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Kaiming He: Facebook researcher. Part of the team behind the deep residual network that won ImageNet 2015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Vincent Rabaud: Worked on ORB as a more efficient alternative to SIFT.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Berthold Horn: Worked on Optical Flow and Computer Graphics.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Frameworks: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CNTK (Cognitive Toolkit): Microsoft’s response to Google’s tensorflow. Recently released to the public and promises better efficiency in large scale GPU applications.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GDAL (Geospatial Data Abstraction Library): Code library for handling remote sensing satellite imagery. Allows coordinate transformations and performing different GIS operations on satellite images.</w:t>
      </w:r>
    </w:p>
    <w:p w:rsidR="00000000" w:rsidDel="00000000" w:rsidP="00000000" w:rsidRDefault="00000000" w:rsidRPr="00000000">
      <w:pPr>
        <w:pStyle w:val="Heading3"/>
        <w:spacing w:after="160" w:line="259" w:lineRule="auto"/>
        <w:contextualSpacing w:val="0"/>
      </w:pPr>
      <w:bookmarkStart w:colFirst="0" w:colLast="0" w:name="_gi8x92h79wwo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Spectroscopy Now: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http://www.spectroscopynow.com/view/index.html?tzcheck=1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Resources for spectroscopy and wave-form analysis.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Vision Online: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http://www.visiononline.org/index.cfm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 for computer vision.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pectroscopynow.com/view/index.html?tzcheck=1" TargetMode="External"/><Relationship Id="rId6" Type="http://schemas.openxmlformats.org/officeDocument/2006/relationships/hyperlink" Target="http://www.visiononline.org/index.cfm" TargetMode="External"/></Relationships>
</file>