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ab-1-introduction-to-arcgis-pro"/>
      <w:r>
        <w:t xml:space="preserve">Lab 1: Introduction to ArcGIS Pro</w:t>
      </w:r>
      <w:bookmarkEnd w:id="20"/>
    </w:p>
    <w:p>
      <w:pPr>
        <w:pStyle w:val="FirstParagraph"/>
      </w:pPr>
      <w:r>
        <w:rPr>
          <w:i/>
        </w:rPr>
        <w:t xml:space="preserve">Intro GIS for Public Health · ArcGIS Pro · Day 1</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Where are the most heat-vulnerable neighborhoods in Philadelphia, and how do cooling resources and flood hazards align with them? Extreme heat is the leading weather-related cause of death in the United States, and urban heat exposure is unequally distributed. This lab uses Philadelphia neighborhood data to begin exploring that spatial inequality — asking whether the areas most vulnerable to heat are also the areas best served by cooling infrastructure such as public pools and spraygrounds.</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Launch ArcGIS Pro, create a new Map project, and understand the</w:t>
      </w:r>
      <w:r>
        <w:t xml:space="preserve"> </w:t>
      </w:r>
      <w:r>
        <w:rPr>
          <w:rStyle w:val="VerbatimChar"/>
        </w:rPr>
        <w:t xml:space="preserve">.aprx</w:t>
      </w:r>
      <w:r>
        <w:t xml:space="preserve"> </w:t>
      </w:r>
      <w:r>
        <w:t xml:space="preserve">file structure</w:t>
      </w:r>
    </w:p>
    <w:p>
      <w:pPr>
        <w:numPr>
          <w:ilvl w:val="0"/>
          <w:numId w:val="1001"/>
        </w:numPr>
        <w:pStyle w:val="Compact"/>
      </w:pPr>
      <w:r>
        <w:t xml:space="preserve">Add local shapefiles to a map and arrange layers in the</w:t>
      </w:r>
      <w:r>
        <w:t xml:space="preserve"> </w:t>
      </w:r>
      <w:r>
        <w:rPr>
          <w:b/>
        </w:rPr>
        <w:t xml:space="preserve">Contents</w:t>
      </w:r>
      <w:r>
        <w:t xml:space="preserve"> </w:t>
      </w:r>
      <w:r>
        <w:t xml:space="preserve">pane</w:t>
      </w:r>
    </w:p>
    <w:p>
      <w:pPr>
        <w:numPr>
          <w:ilvl w:val="0"/>
          <w:numId w:val="1001"/>
        </w:numPr>
        <w:pStyle w:val="Compact"/>
      </w:pPr>
      <w:r>
        <w:t xml:space="preserve">Navigate a map: pan, zoom, bookmarks, and full extent</w:t>
      </w:r>
    </w:p>
    <w:p>
      <w:pPr>
        <w:numPr>
          <w:ilvl w:val="0"/>
          <w:numId w:val="1001"/>
        </w:numPr>
        <w:pStyle w:val="Compact"/>
      </w:pPr>
      <w:r>
        <w:t xml:space="preserve">Apply three symbology types: single symbol, graduated colors (choropleth), and unique values/categories</w:t>
      </w:r>
    </w:p>
    <w:p>
      <w:pPr>
        <w:numPr>
          <w:ilvl w:val="0"/>
          <w:numId w:val="1001"/>
        </w:numPr>
        <w:pStyle w:val="Compact"/>
      </w:pPr>
      <w:r>
        <w:t xml:space="preserve">Compare Equal Interval and Quantile classification schemes for a health index</w:t>
      </w:r>
    </w:p>
    <w:p>
      <w:pPr>
        <w:numPr>
          <w:ilvl w:val="0"/>
          <w:numId w:val="1001"/>
        </w:numPr>
        <w:pStyle w:val="Compact"/>
      </w:pPr>
      <w:r>
        <w:t xml:space="preserve">Build a print layout containing a title, legend, north arrow, and scale bar</w:t>
      </w:r>
    </w:p>
    <w:p>
      <w:pPr>
        <w:numPr>
          <w:ilvl w:val="0"/>
          <w:numId w:val="1001"/>
        </w:numPr>
        <w:pStyle w:val="Compact"/>
      </w:pPr>
      <w:r>
        <w:t xml:space="preserve">Add a second map frame to create an inset map</w:t>
      </w:r>
    </w:p>
    <w:p>
      <w:pPr>
        <w:numPr>
          <w:ilvl w:val="0"/>
          <w:numId w:val="1001"/>
        </w:numPr>
        <w:pStyle w:val="Compact"/>
      </w:pPr>
      <w:r>
        <w:t xml:space="preserve">Use the</w:t>
      </w:r>
      <w:r>
        <w:t xml:space="preserve"> </w:t>
      </w:r>
      <w:r>
        <w:rPr>
          <w:b/>
        </w:rPr>
        <w:t xml:space="preserve">Measure</w:t>
      </w:r>
      <w:r>
        <w:t xml:space="preserve"> </w:t>
      </w:r>
      <w:r>
        <w:t xml:space="preserve">tool to estimate distances</w:t>
      </w:r>
    </w:p>
    <w:p>
      <w:pPr>
        <w:numPr>
          <w:ilvl w:val="0"/>
          <w:numId w:val="1001"/>
        </w:numPr>
        <w:pStyle w:val="Compact"/>
      </w:pPr>
      <w:r>
        <w:t xml:space="preserve">Export a layout to PDF</w:t>
      </w:r>
    </w:p>
    <w:p>
      <w:r>
        <w:pict>
          <v:rect style="width:0;height:1.5pt" o:hralign="center" o:hrstd="t" o:hr="t"/>
        </w:pict>
      </w:r>
    </w:p>
    <w:p>
      <w:pPr>
        <w:pStyle w:val="Heading2"/>
      </w:pPr>
      <w:bookmarkStart w:id="23" w:name="what-you-will-produce"/>
      <w:r>
        <w:t xml:space="preserve">What you will produce</w:t>
      </w:r>
      <w:bookmarkEnd w:id="23"/>
    </w:p>
    <w:p>
      <w:pPr>
        <w:pStyle w:val="FirstParagraph"/>
      </w:pPr>
      <w:r>
        <w:t xml:space="preserve">Three PDF maps of Philadelphia, exported from a single ArcGIS Pro project:</w:t>
      </w:r>
    </w:p>
    <w:p>
      <w:pPr>
        <w:numPr>
          <w:ilvl w:val="0"/>
          <w:numId w:val="1002"/>
        </w:numPr>
        <w:pStyle w:val="Compact"/>
      </w:pPr>
      <w:r>
        <w:rPr>
          <w:b/>
        </w:rPr>
        <w:t xml:space="preserve">Map 1 — Flood and green infrastructure:</w:t>
      </w:r>
      <w:r>
        <w:t xml:space="preserve"> </w:t>
      </w:r>
      <w:r>
        <w:t xml:space="preserve">Green stormwater infrastructure (GSI) project locations displayed over FEMA 100-year flood zones, with census tracts as a base layer.</w:t>
      </w:r>
    </w:p>
    <w:p>
      <w:pPr>
        <w:numPr>
          <w:ilvl w:val="0"/>
          <w:numId w:val="1002"/>
        </w:numPr>
        <w:pStyle w:val="Compact"/>
      </w:pPr>
      <w:r>
        <w:rPr>
          <w:b/>
        </w:rPr>
        <w:t xml:space="preserve">Map 2 — Heat vulnerability choropleth:</w:t>
      </w:r>
      <w:r>
        <w:t xml:space="preserve"> </w:t>
      </w:r>
      <w:r>
        <w:t xml:space="preserve">Tract-level heat vulnerability index shown with graduated colors, plus an inset map zoomed to a cluster of high-vulnerability tracts.</w:t>
      </w:r>
    </w:p>
    <w:p>
      <w:pPr>
        <w:numPr>
          <w:ilvl w:val="0"/>
          <w:numId w:val="1002"/>
        </w:numPr>
        <w:pStyle w:val="Compact"/>
      </w:pPr>
      <w:r>
        <w:rPr>
          <w:b/>
        </w:rPr>
        <w:t xml:space="preserve">Map 3 — Cooling resources:</w:t>
      </w:r>
      <w:r>
        <w:t xml:space="preserve"> </w:t>
      </w:r>
      <w:r>
        <w:t xml:space="preserve">Heat vulnerability choropleth with public swimming pools and spraygrounds symbolized as point categories.</w:t>
      </w:r>
    </w:p>
    <w:p>
      <w:r>
        <w:pict>
          <v:rect style="width:0;height:1.5pt" o:hralign="center" o:hrstd="t" o:hr="t"/>
        </w:pict>
      </w:r>
    </w:p>
    <w:p>
      <w:pPr>
        <w:pStyle w:val="Heading2"/>
      </w:pPr>
      <w:bookmarkStart w:id="24" w:name="data"/>
      <w:r>
        <w:t xml:space="preserve">Data</w:t>
      </w:r>
      <w:bookmarkEnd w:id="24"/>
    </w:p>
    <w:p>
      <w:pPr>
        <w:pStyle w:val="FirstParagraph"/>
      </w:pPr>
      <w:r>
        <w:t xml:space="preserve">All files are provided by the instructor on the</w:t>
      </w:r>
      <w:r>
        <w:t xml:space="preserve"> </w:t>
      </w:r>
      <w:r>
        <w:rPr>
          <w:b/>
        </w:rPr>
        <w:t xml:space="preserve">W: drive</w:t>
      </w:r>
      <w:r>
        <w:t xml:space="preserve">. Throughout this lab,</w:t>
      </w:r>
      <w:r>
        <w:t xml:space="preserve"> </w:t>
      </w:r>
      <w:r>
        <w:rPr>
          <w:rStyle w:val="VerbatimChar"/>
        </w:rPr>
        <w:t xml:space="preserve">W:\Lab01\data\</w:t>
      </w:r>
      <w:r>
        <w:t xml:space="preserve"> </w:t>
      </w:r>
      <w:r>
        <w:t xml:space="preserve">means the folder on your assigned storage drive where the lab data are stored — the exact drive letter or path may differ by computer lab.</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Philadelphia_census_tracts.shp</w:t>
            </w:r>
          </w:p>
        </w:tc>
        <w:tc>
          <w:p>
            <w:pPr>
              <w:pStyle w:val="Compact"/>
              <w:jc w:val="left"/>
            </w:pPr>
            <w:r>
              <w:t xml:space="preserve">2020 census tract boundaries for Philadelphia County</w:t>
            </w:r>
          </w:p>
        </w:tc>
        <w:tc>
          <w:p>
            <w:pPr>
              <w:pStyle w:val="Compact"/>
              <w:jc w:val="left"/>
            </w:pPr>
            <w:r>
              <w:t xml:space="preserve">TIGER/Line via OpenDataPhilly (instructor-provided)</w:t>
            </w:r>
          </w:p>
        </w:tc>
      </w:tr>
      <w:tr>
        <w:tc>
          <w:p>
            <w:pPr>
              <w:pStyle w:val="Compact"/>
              <w:jc w:val="left"/>
            </w:pPr>
            <w:r>
              <w:rPr>
                <w:rStyle w:val="VerbatimChar"/>
              </w:rPr>
              <w:t xml:space="preserve">GSI_public_projects.shp</w:t>
            </w:r>
          </w:p>
        </w:tc>
        <w:tc>
          <w:p>
            <w:pPr>
              <w:pStyle w:val="Compact"/>
              <w:jc w:val="left"/>
            </w:pPr>
            <w:r>
              <w:t xml:space="preserve">Philadelphia Water Department public green stormwater infrastructure projects</w:t>
            </w:r>
          </w:p>
        </w:tc>
        <w:tc>
          <w:p>
            <w:pPr>
              <w:pStyle w:val="Compact"/>
              <w:jc w:val="left"/>
            </w:pPr>
            <w:r>
              <w:t xml:space="preserve">OpenDataPhilly (instructor-provided)</w:t>
            </w:r>
          </w:p>
        </w:tc>
      </w:tr>
      <w:tr>
        <w:tc>
          <w:p>
            <w:pPr>
              <w:pStyle w:val="Compact"/>
              <w:jc w:val="left"/>
            </w:pPr>
            <w:r>
              <w:rPr>
                <w:rStyle w:val="VerbatimChar"/>
              </w:rPr>
              <w:t xml:space="preserve">100_yr_flood.shp</w:t>
            </w:r>
          </w:p>
        </w:tc>
        <w:tc>
          <w:p>
            <w:pPr>
              <w:pStyle w:val="Compact"/>
              <w:jc w:val="left"/>
            </w:pPr>
            <w:r>
              <w:t xml:space="preserve">FEMA 100-year (1% annual chance) flood zone polygons</w:t>
            </w:r>
          </w:p>
        </w:tc>
        <w:tc>
          <w:p>
            <w:pPr>
              <w:pStyle w:val="Compact"/>
              <w:jc w:val="left"/>
            </w:pPr>
            <w:r>
              <w:t xml:space="preserve">OpenDataPhilly (instructor-provided)</w:t>
            </w:r>
          </w:p>
        </w:tc>
      </w:tr>
      <w:tr>
        <w:tc>
          <w:p>
            <w:pPr>
              <w:pStyle w:val="Compact"/>
              <w:jc w:val="left"/>
            </w:pPr>
            <w:r>
              <w:rPr>
                <w:rStyle w:val="VerbatimChar"/>
              </w:rPr>
              <w:t xml:space="preserve">heat_vulnerability_ct.shp</w:t>
            </w:r>
          </w:p>
        </w:tc>
        <w:tc>
          <w:p>
            <w:pPr>
              <w:pStyle w:val="Compact"/>
              <w:jc w:val="left"/>
            </w:pPr>
            <w:r>
              <w:t xml:space="preserve">Heat vulnerability index by census tract; field</w:t>
            </w:r>
            <w:r>
              <w:t xml:space="preserve"> </w:t>
            </w:r>
            <w:r>
              <w:rPr>
                <w:rStyle w:val="VerbatimChar"/>
              </w:rPr>
              <w:t xml:space="preserve">HVI</w:t>
            </w:r>
            <w:r>
              <w:t xml:space="preserve"> </w:t>
            </w:r>
            <w:r>
              <w:t xml:space="preserve">contains the index score</w:t>
            </w:r>
          </w:p>
        </w:tc>
        <w:tc>
          <w:p>
            <w:pPr>
              <w:pStyle w:val="Compact"/>
              <w:jc w:val="left"/>
            </w:pPr>
            <w:r>
              <w:t xml:space="preserve">OpenDataPhilly / Philadelphia Dept. of Public Health (instructor-provided)</w:t>
            </w:r>
          </w:p>
        </w:tc>
      </w:tr>
      <w:tr>
        <w:tc>
          <w:p>
            <w:pPr>
              <w:pStyle w:val="Compact"/>
              <w:jc w:val="left"/>
            </w:pPr>
            <w:r>
              <w:rPr>
                <w:rStyle w:val="VerbatimChar"/>
              </w:rPr>
              <w:t xml:space="preserve">PPR_Spraygrounds.shp</w:t>
            </w:r>
          </w:p>
        </w:tc>
        <w:tc>
          <w:p>
            <w:pPr>
              <w:pStyle w:val="Compact"/>
              <w:jc w:val="left"/>
            </w:pPr>
            <w:r>
              <w:t xml:space="preserve">Philadelphia Parks and Recreation sprayground locations</w:t>
            </w:r>
          </w:p>
        </w:tc>
        <w:tc>
          <w:p>
            <w:pPr>
              <w:pStyle w:val="Compact"/>
              <w:jc w:val="left"/>
            </w:pPr>
            <w:r>
              <w:t xml:space="preserve">OpenDataPhilly (instructor-provided)</w:t>
            </w:r>
          </w:p>
        </w:tc>
      </w:tr>
      <w:tr>
        <w:tc>
          <w:p>
            <w:pPr>
              <w:pStyle w:val="Compact"/>
              <w:jc w:val="left"/>
            </w:pPr>
            <w:r>
              <w:rPr>
                <w:rStyle w:val="VerbatimChar"/>
              </w:rPr>
              <w:t xml:space="preserve">PPR_Swimming_Pools.shp</w:t>
            </w:r>
          </w:p>
        </w:tc>
        <w:tc>
          <w:p>
            <w:pPr>
              <w:pStyle w:val="Compact"/>
              <w:jc w:val="left"/>
            </w:pPr>
            <w:r>
              <w:t xml:space="preserve">Philadelphia Parks and Recreation public swimming pool locations</w:t>
            </w:r>
          </w:p>
        </w:tc>
        <w:tc>
          <w:p>
            <w:pPr>
              <w:pStyle w:val="Compact"/>
              <w:jc w:val="left"/>
            </w:pPr>
            <w:r>
              <w:t xml:space="preserve">OpenDataPhilly (instructor-provided)</w:t>
            </w:r>
          </w:p>
        </w:tc>
      </w:tr>
    </w:tbl>
    <w:p>
      <w:pPr>
        <w:pStyle w:val="BlockText"/>
      </w:pPr>
      <w:r>
        <w:rPr>
          <w:b/>
        </w:rPr>
        <w:t xml:space="preserve">Note:</w:t>
      </w:r>
      <w:r>
        <w:t xml:space="preserve"> </w:t>
      </w:r>
      <w:r>
        <w:t xml:space="preserve">“</w:t>
      </w:r>
      <w:r>
        <w:t xml:space="preserve">W:</w:t>
      </w:r>
      <w:r>
        <w:t xml:space="preserve">”</w:t>
      </w:r>
      <w:r>
        <w:t xml:space="preserve"> </w:t>
      </w:r>
      <w:r>
        <w:t xml:space="preserve">is shorthand for your storage drive. Do not open or save files on the Desktop or a USB drive; anything saved there may be lost when you log out.</w:t>
      </w:r>
    </w:p>
    <w:p>
      <w:r>
        <w:pict>
          <v:rect style="width:0;height:1.5pt" o:hralign="center" o:hrstd="t" o:hr="t"/>
        </w:pict>
      </w:r>
    </w:p>
    <w:p>
      <w:pPr>
        <w:pStyle w:val="Heading2"/>
      </w:pPr>
      <w:bookmarkStart w:id="25" w:name="before-you-begin"/>
      <w:r>
        <w:t xml:space="preserve">Before you begin</w:t>
      </w:r>
      <w:bookmarkEnd w:id="25"/>
    </w:p>
    <w:p>
      <w:pPr>
        <w:numPr>
          <w:ilvl w:val="0"/>
          <w:numId w:val="1003"/>
        </w:numPr>
        <w:pStyle w:val="Compact"/>
      </w:pPr>
      <w:r>
        <w:rPr>
          <w:b/>
        </w:rPr>
        <w:t xml:space="preserve">Prerequisites:</w:t>
      </w:r>
      <w:r>
        <w:t xml:space="preserve"> </w:t>
      </w:r>
      <w:r>
        <w:t xml:space="preserve">Basic Windows navigation (opening folders, right-clicking). No prior GIS experience required.</w:t>
      </w:r>
    </w:p>
    <w:p>
      <w:pPr>
        <w:numPr>
          <w:ilvl w:val="0"/>
          <w:numId w:val="1003"/>
        </w:numPr>
        <w:pStyle w:val="Compact"/>
      </w:pPr>
      <w:r>
        <w:rPr>
          <w:b/>
        </w:rPr>
        <w:t xml:space="preserve">Estimated time:</w:t>
      </w:r>
      <w:r>
        <w:t xml:space="preserve"> </w:t>
      </w:r>
      <w:r>
        <w:t xml:space="preserve">2.5–3 hours.</w:t>
      </w:r>
    </w:p>
    <w:p>
      <w:pPr>
        <w:numPr>
          <w:ilvl w:val="0"/>
          <w:numId w:val="1003"/>
        </w:numPr>
        <w:pStyle w:val="Compact"/>
      </w:pPr>
      <w:r>
        <w:rPr>
          <w:b/>
        </w:rPr>
        <w:t xml:space="preserve">Have ready:</w:t>
      </w:r>
      <w:r>
        <w:t xml:space="preserve"> </w:t>
      </w:r>
      <w:r>
        <w:t xml:space="preserve">Your W: drive access confirmed; ArcGIS Pro license or organizational URL from your instructor.</w:t>
      </w:r>
    </w:p>
    <w:p>
      <w:r>
        <w:pict>
          <v:rect style="width:0;height:1.5pt" o:hralign="center" o:hrstd="t" o:hr="t"/>
        </w:pict>
      </w:r>
    </w:p>
    <w:p>
      <w:pPr>
        <w:pStyle w:val="Heading2"/>
      </w:pPr>
      <w:bookmarkStart w:id="26" w:name="X9b82cdc9a53b33ac10e8784a045c4396eda5fe5"/>
      <w:r>
        <w:t xml:space="preserve">Part 1: Starting ArcGIS Pro and creating a project</w:t>
      </w:r>
      <w:bookmarkEnd w:id="26"/>
    </w:p>
    <w:p>
      <w:pPr>
        <w:pStyle w:val="Heading3"/>
      </w:pPr>
      <w:bookmarkStart w:id="27" w:name="launch-arcgis-pro"/>
      <w:r>
        <w:t xml:space="preserve">1.1 Launch ArcGIS Pro</w:t>
      </w:r>
      <w:bookmarkEnd w:id="27"/>
    </w:p>
    <w:p>
      <w:pPr>
        <w:numPr>
          <w:ilvl w:val="0"/>
          <w:numId w:val="1004"/>
        </w:numPr>
        <w:pStyle w:val="Compact"/>
      </w:pPr>
      <w:r>
        <w:t xml:space="preserve">Find the</w:t>
      </w:r>
      <w:r>
        <w:t xml:space="preserve"> </w:t>
      </w:r>
      <w:r>
        <w:rPr>
          <w:b/>
        </w:rPr>
        <w:t xml:space="preserve">ArcGIS Pro</w:t>
      </w:r>
      <w:r>
        <w:t xml:space="preserve"> </w:t>
      </w:r>
      <w:r>
        <w:t xml:space="preserve">icon on the Desktop or taskbar, or navigate in Windows to</w:t>
      </w:r>
      <w:r>
        <w:t xml:space="preserve"> </w:t>
      </w:r>
      <w:r>
        <w:rPr>
          <w:b/>
        </w:rPr>
        <w:t xml:space="preserve">Start → Programs → ArcGIS → ArcGIS Pro</w:t>
      </w:r>
      <w:r>
        <w:t xml:space="preserve">. Double-click to open it. Allow 30–60 seconds for the splash screen to load.</w:t>
      </w:r>
    </w:p>
    <w:p>
      <w:pPr>
        <w:numPr>
          <w:ilvl w:val="0"/>
          <w:numId w:val="1004"/>
        </w:numPr>
        <w:pStyle w:val="Compact"/>
      </w:pPr>
      <w:r>
        <w:t xml:space="preserve">At the sign-in screen, enter your organizational URL or ArcGIS Online credentials as directed by your instructor.</w:t>
      </w:r>
    </w:p>
    <w:p>
      <w:pPr>
        <w:pStyle w:val="FirstParagraph"/>
      </w:pPr>
      <w:r>
        <w:rPr>
          <w:i/>
        </w:rPr>
        <w:t xml:space="preserve">[Figure: ArcGIS Pro sign-in screen showing the organizational URL field]</w:t>
      </w:r>
    </w:p>
    <w:p>
      <w:pPr>
        <w:pStyle w:val="Heading3"/>
      </w:pPr>
      <w:bookmarkStart w:id="28" w:name="create-a-new-project"/>
      <w:r>
        <w:t xml:space="preserve">1.2 Create a new project</w:t>
      </w:r>
      <w:bookmarkEnd w:id="28"/>
    </w:p>
    <w:p>
      <w:pPr>
        <w:numPr>
          <w:ilvl w:val="0"/>
          <w:numId w:val="1005"/>
        </w:numPr>
        <w:pStyle w:val="Compact"/>
      </w:pPr>
      <w:r>
        <w:t xml:space="preserve">In the ArcGIS Pro start window, click</w:t>
      </w:r>
      <w:r>
        <w:t xml:space="preserve"> </w:t>
      </w:r>
      <w:r>
        <w:rPr>
          <w:b/>
        </w:rPr>
        <w:t xml:space="preserve">Map</w:t>
      </w:r>
      <w:r>
        <w:t xml:space="preserve"> </w:t>
      </w:r>
      <w:r>
        <w:t xml:space="preserve">under</w:t>
      </w:r>
      <w:r>
        <w:t xml:space="preserve"> </w:t>
      </w:r>
      <w:r>
        <w:rPr>
          <w:b/>
        </w:rPr>
        <w:t xml:space="preserve">New</w:t>
      </w:r>
      <w:r>
        <w:t xml:space="preserve">. This creates a new project with a default basemap already added.</w:t>
      </w:r>
    </w:p>
    <w:p>
      <w:pPr>
        <w:numPr>
          <w:ilvl w:val="0"/>
          <w:numId w:val="1005"/>
        </w:numPr>
        <w:pStyle w:val="Compact"/>
      </w:pPr>
      <w:r>
        <w:t xml:space="preserve">In the</w:t>
      </w:r>
      <w:r>
        <w:t xml:space="preserve"> </w:t>
      </w:r>
      <w:r>
        <w:rPr>
          <w:b/>
        </w:rPr>
        <w:t xml:space="preserve">Create a New Project</w:t>
      </w:r>
      <w:r>
        <w:t xml:space="preserve"> </w:t>
      </w:r>
      <w:r>
        <w:t xml:space="preserve">dialog, set the following: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Value</w:t>
            </w:r>
          </w:p>
        </w:tc>
      </w:tr>
      <w:tr>
        <w:tc>
          <w:p>
            <w:pPr>
              <w:pStyle w:val="Compact"/>
              <w:jc w:val="left"/>
            </w:pPr>
            <w:r>
              <w:t xml:space="preserve">Name</w:t>
            </w:r>
          </w:p>
        </w:tc>
        <w:tc>
          <w:p>
            <w:pPr>
              <w:pStyle w:val="Compact"/>
              <w:jc w:val="left"/>
            </w:pPr>
            <w:r>
              <w:rPr>
                <w:rStyle w:val="VerbatimChar"/>
              </w:rPr>
              <w:t xml:space="preserve">Lab01_Philadelphia</w:t>
            </w:r>
          </w:p>
        </w:tc>
      </w:tr>
      <w:tr>
        <w:tc>
          <w:p>
            <w:pPr>
              <w:pStyle w:val="Compact"/>
              <w:jc w:val="left"/>
            </w:pPr>
            <w:r>
              <w:t xml:space="preserve">Location</w:t>
            </w:r>
          </w:p>
        </w:tc>
        <w:tc>
          <w:p>
            <w:pPr>
              <w:pStyle w:val="Compact"/>
              <w:jc w:val="left"/>
            </w:pPr>
            <w:r>
              <w:rPr>
                <w:rStyle w:val="VerbatimChar"/>
              </w:rPr>
              <w:t xml:space="preserve">W:\Lab01\</w:t>
            </w:r>
          </w:p>
        </w:tc>
      </w:tr>
      <w:tr>
        <w:tc>
          <w:p>
            <w:pPr>
              <w:pStyle w:val="Compact"/>
              <w:jc w:val="left"/>
            </w:pPr>
            <w:r>
              <w:t xml:space="preserve">Create new folder for this project</w:t>
            </w:r>
          </w:p>
        </w:tc>
        <w:tc>
          <w:p>
            <w:pPr>
              <w:pStyle w:val="Compact"/>
              <w:jc w:val="left"/>
            </w:pPr>
            <w:r>
              <w:t xml:space="preserve">Checked</w:t>
            </w:r>
          </w:p>
        </w:tc>
      </w:tr>
    </w:tbl>
    <w:p>
      <w:pPr>
        <w:numPr>
          <w:ilvl w:val="0"/>
          <w:numId w:val="1006"/>
        </w:numPr>
        <w:pStyle w:val="Compact"/>
      </w:pPr>
      <w:r>
        <w:t xml:space="preserve">Click</w:t>
      </w:r>
      <w:r>
        <w:t xml:space="preserve"> </w:t>
      </w:r>
      <w:r>
        <w:rPr>
          <w:b/>
        </w:rPr>
        <w:t xml:space="preserve">OK</w:t>
      </w:r>
      <w:r>
        <w:t xml:space="preserve">. ArcGIS Pro opens with a default map view, a</w:t>
      </w:r>
      <w:r>
        <w:t xml:space="preserve"> </w:t>
      </w:r>
      <w:r>
        <w:rPr>
          <w:b/>
        </w:rPr>
        <w:t xml:space="preserve">Contents</w:t>
      </w:r>
      <w:r>
        <w:t xml:space="preserve"> </w:t>
      </w:r>
      <w:r>
        <w:t xml:space="preserve">pane on the left, and a</w:t>
      </w:r>
      <w:r>
        <w:t xml:space="preserve"> </w:t>
      </w:r>
      <w:r>
        <w:rPr>
          <w:b/>
        </w:rPr>
        <w:t xml:space="preserve">Catalog</w:t>
      </w:r>
      <w:r>
        <w:t xml:space="preserve"> </w:t>
      </w:r>
      <w:r>
        <w:t xml:space="preserve">pane on the right.</w:t>
      </w:r>
    </w:p>
    <w:p>
      <w:pPr>
        <w:pStyle w:val="BlockText"/>
      </w:pPr>
      <w:r>
        <w:rPr>
          <w:b/>
        </w:rPr>
        <w:t xml:space="preserve">Note:</w:t>
      </w:r>
      <w:r>
        <w:t xml:space="preserve"> </w:t>
      </w:r>
      <w:r>
        <w:t xml:space="preserve">Your project is saved as</w:t>
      </w:r>
      <w:r>
        <w:t xml:space="preserve"> </w:t>
      </w:r>
      <w:r>
        <w:rPr>
          <w:rStyle w:val="VerbatimChar"/>
        </w:rPr>
        <w:t xml:space="preserve">Lab01_Philadelphia.aprx</w:t>
      </w:r>
      <w:r>
        <w:t xml:space="preserve">. A default file geodatabase (</w:t>
      </w:r>
      <w:r>
        <w:rPr>
          <w:rStyle w:val="VerbatimChar"/>
        </w:rPr>
        <w:t xml:space="preserve">Lab01_Philadelphia.gdb</w:t>
      </w:r>
      <w:r>
        <w:t xml:space="preserve">) is created automatically in the same folder. This geodatabase stores any new layers you create during the lab. You cannot rename a project after creation, but you can save it as a new file.</w:t>
      </w:r>
    </w:p>
    <w:p>
      <w:pPr>
        <w:numPr>
          <w:ilvl w:val="0"/>
          <w:numId w:val="1007"/>
        </w:numPr>
        <w:pStyle w:val="Compact"/>
      </w:pPr>
      <w:r>
        <w:t xml:space="preserve">Click through the</w:t>
      </w:r>
      <w:r>
        <w:t xml:space="preserve"> </w:t>
      </w:r>
      <w:r>
        <w:rPr>
          <w:b/>
        </w:rPr>
        <w:t xml:space="preserve">Map</w:t>
      </w:r>
      <w:r>
        <w:t xml:space="preserve">,</w:t>
      </w:r>
      <w:r>
        <w:t xml:space="preserve"> </w:t>
      </w:r>
      <w:r>
        <w:rPr>
          <w:b/>
        </w:rPr>
        <w:t xml:space="preserve">Insert</w:t>
      </w:r>
      <w:r>
        <w:t xml:space="preserve">,</w:t>
      </w:r>
      <w:r>
        <w:t xml:space="preserve"> </w:t>
      </w:r>
      <w:r>
        <w:rPr>
          <w:b/>
        </w:rPr>
        <w:t xml:space="preserve">Analysis</w:t>
      </w:r>
      <w:r>
        <w:t xml:space="preserve">,</w:t>
      </w:r>
      <w:r>
        <w:t xml:space="preserve"> </w:t>
      </w:r>
      <w:r>
        <w:rPr>
          <w:b/>
        </w:rPr>
        <w:t xml:space="preserve">View</w:t>
      </w:r>
      <w:r>
        <w:t xml:space="preserve">, and</w:t>
      </w:r>
      <w:r>
        <w:t xml:space="preserve"> </w:t>
      </w:r>
      <w:r>
        <w:rPr>
          <w:b/>
        </w:rPr>
        <w:t xml:space="preserve">Edit</w:t>
      </w:r>
      <w:r>
        <w:t xml:space="preserve"> </w:t>
      </w:r>
      <w:r>
        <w:t xml:space="preserve">ribbon tabs and note how the available tools change with each tab.</w:t>
      </w:r>
    </w:p>
    <w:p>
      <w:pPr>
        <w:pStyle w:val="FirstParagraph"/>
      </w:pPr>
      <w:r>
        <w:rPr>
          <w:i/>
        </w:rPr>
        <w:t xml:space="preserve">[Figure: ArcGIS Pro main window with the Map tab active, showing the Contents pane on the left and Catalog pane on the right]</w:t>
      </w:r>
    </w:p>
    <w:p>
      <w:pPr>
        <w:pStyle w:val="Heading3"/>
      </w:pPr>
      <w:bookmarkStart w:id="29" w:name="X375a517ec73d2b5f3831bb650cd6a7f07e25415"/>
      <w:r>
        <w:t xml:space="preserve">1.3 Remove default basemap layers and add lab data</w:t>
      </w:r>
      <w:bookmarkEnd w:id="29"/>
    </w:p>
    <w:p>
      <w:pPr>
        <w:numPr>
          <w:ilvl w:val="0"/>
          <w:numId w:val="1008"/>
        </w:numPr>
        <w:pStyle w:val="Compact"/>
      </w:pPr>
      <w:r>
        <w:t xml:space="preserve">In the</w:t>
      </w:r>
      <w:r>
        <w:t xml:space="preserve"> </w:t>
      </w:r>
      <w:r>
        <w:rPr>
          <w:b/>
        </w:rPr>
        <w:t xml:space="preserve">Contents</w:t>
      </w:r>
      <w:r>
        <w:t xml:space="preserve"> </w:t>
      </w:r>
      <w:r>
        <w:t xml:space="preserve">pane, left-click the</w:t>
      </w:r>
      <w:r>
        <w:t xml:space="preserve"> </w:t>
      </w:r>
      <w:r>
        <w:rPr>
          <w:b/>
        </w:rPr>
        <w:t xml:space="preserve">World Topographic Map</w:t>
      </w:r>
      <w:r>
        <w:t xml:space="preserve"> </w:t>
      </w:r>
      <w:r>
        <w:t xml:space="preserve">layer to select it (it highlights blue). Hold</w:t>
      </w:r>
      <w:r>
        <w:t xml:space="preserve"> </w:t>
      </w:r>
      <w:r>
        <w:rPr>
          <w:b/>
        </w:rPr>
        <w:t xml:space="preserve">Shift</w:t>
      </w:r>
      <w:r>
        <w:t xml:space="preserve"> </w:t>
      </w:r>
      <w:r>
        <w:t xml:space="preserve">and click the</w:t>
      </w:r>
      <w:r>
        <w:t xml:space="preserve"> </w:t>
      </w:r>
      <w:r>
        <w:rPr>
          <w:b/>
        </w:rPr>
        <w:t xml:space="preserve">World Hillshade</w:t>
      </w:r>
      <w:r>
        <w:t xml:space="preserve"> </w:t>
      </w:r>
      <w:r>
        <w:t xml:space="preserve">layer to select both. Right-click the selection and choose</w:t>
      </w:r>
      <w:r>
        <w:t xml:space="preserve"> </w:t>
      </w:r>
      <w:r>
        <w:rPr>
          <w:b/>
        </w:rPr>
        <w:t xml:space="preserve">Remove</w:t>
      </w:r>
      <w:r>
        <w:t xml:space="preserve">.</w:t>
      </w:r>
    </w:p>
    <w:p>
      <w:pPr>
        <w:numPr>
          <w:ilvl w:val="0"/>
          <w:numId w:val="1008"/>
        </w:numPr>
        <w:pStyle w:val="Compact"/>
      </w:pPr>
      <w:r>
        <w:t xml:space="preserve">On the</w:t>
      </w:r>
      <w:r>
        <w:t xml:space="preserve"> </w:t>
      </w:r>
      <w:r>
        <w:rPr>
          <w:b/>
        </w:rPr>
        <w:t xml:space="preserve">Map</w:t>
      </w:r>
      <w:r>
        <w:t xml:space="preserve"> </w:t>
      </w:r>
      <w:r>
        <w:t xml:space="preserve">tab, in the</w:t>
      </w:r>
      <w:r>
        <w:t xml:space="preserve"> </w:t>
      </w:r>
      <w:r>
        <w:rPr>
          <w:b/>
        </w:rPr>
        <w:t xml:space="preserve">Layer</w:t>
      </w:r>
      <w:r>
        <w:t xml:space="preserve"> </w:t>
      </w:r>
      <w:r>
        <w:t xml:space="preserve">group, click</w:t>
      </w:r>
      <w:r>
        <w:t xml:space="preserve"> </w:t>
      </w:r>
      <w:r>
        <w:rPr>
          <w:b/>
        </w:rPr>
        <w:t xml:space="preserve">Add Data</w:t>
      </w:r>
      <w:r>
        <w:t xml:space="preserve">.</w:t>
      </w:r>
    </w:p>
    <w:p>
      <w:pPr>
        <w:numPr>
          <w:ilvl w:val="0"/>
          <w:numId w:val="1008"/>
        </w:numPr>
        <w:pStyle w:val="Compact"/>
      </w:pPr>
      <w:r>
        <w:t xml:space="preserve">In the file browser, navigate to</w:t>
      </w:r>
      <w:r>
        <w:t xml:space="preserve"> </w:t>
      </w:r>
      <w:r>
        <w:rPr>
          <w:rStyle w:val="VerbatimChar"/>
        </w:rPr>
        <w:t xml:space="preserve">W:\Lab01\data\</w:t>
      </w:r>
      <w:r>
        <w:t xml:space="preserve">. Select</w:t>
      </w:r>
      <w:r>
        <w:t xml:space="preserve"> </w:t>
      </w:r>
      <w:r>
        <w:rPr>
          <w:rStyle w:val="VerbatimChar"/>
        </w:rPr>
        <w:t xml:space="preserve">Philadelphia_census_tracts.shp</w:t>
      </w:r>
      <w:r>
        <w:t xml:space="preserve">,</w:t>
      </w:r>
      <w:r>
        <w:t xml:space="preserve"> </w:t>
      </w:r>
      <w:r>
        <w:rPr>
          <w:rStyle w:val="VerbatimChar"/>
        </w:rPr>
        <w:t xml:space="preserve">100_yr_flood.shp</w:t>
      </w:r>
      <w:r>
        <w:t xml:space="preserve">, and</w:t>
      </w:r>
      <w:r>
        <w:t xml:space="preserve"> </w:t>
      </w:r>
      <w:r>
        <w:rPr>
          <w:rStyle w:val="VerbatimChar"/>
        </w:rPr>
        <w:t xml:space="preserve">GSI_public_projects.shp</w:t>
      </w:r>
      <w:r>
        <w:t xml:space="preserve"> </w:t>
      </w:r>
      <w:r>
        <w:t xml:space="preserve">(hold</w:t>
      </w:r>
      <w:r>
        <w:t xml:space="preserve"> </w:t>
      </w:r>
      <w:r>
        <w:rPr>
          <w:b/>
        </w:rPr>
        <w:t xml:space="preserve">Ctrl</w:t>
      </w:r>
      <w:r>
        <w:t xml:space="preserve"> </w:t>
      </w:r>
      <w:r>
        <w:t xml:space="preserve">to select multiple files). Click</w:t>
      </w:r>
      <w:r>
        <w:t xml:space="preserve"> </w:t>
      </w:r>
      <w:r>
        <w:rPr>
          <w:b/>
        </w:rPr>
        <w:t xml:space="preserve">OK</w:t>
      </w:r>
      <w:r>
        <w:t xml:space="preserve">.</w:t>
      </w:r>
    </w:p>
    <w:p>
      <w:pPr>
        <w:pStyle w:val="BlockText"/>
      </w:pPr>
      <w:r>
        <w:rPr>
          <w:b/>
        </w:rPr>
        <w:t xml:space="preserve">Note:</w:t>
      </w:r>
      <w:r>
        <w:t xml:space="preserve"> </w:t>
      </w:r>
      <w:r>
        <w:t xml:space="preserve">ArcGIS Pro adds each shapefile as a layer. The</w:t>
      </w:r>
      <w:r>
        <w:t xml:space="preserve"> </w:t>
      </w:r>
      <w:r>
        <w:rPr>
          <w:b/>
        </w:rPr>
        <w:t xml:space="preserve">Contents</w:t>
      </w:r>
      <w:r>
        <w:t xml:space="preserve"> </w:t>
      </w:r>
      <w:r>
        <w:t xml:space="preserve">pane lists them. If layers appear in an unexpected order, you will fix that in the next step.</w:t>
      </w:r>
    </w:p>
    <w:p>
      <w:pPr>
        <w:numPr>
          <w:ilvl w:val="0"/>
          <w:numId w:val="1009"/>
        </w:numPr>
        <w:pStyle w:val="Compact"/>
      </w:pPr>
      <w:r>
        <w:t xml:space="preserve">In the</w:t>
      </w:r>
      <w:r>
        <w:t xml:space="preserve"> </w:t>
      </w:r>
      <w:r>
        <w:rPr>
          <w:b/>
        </w:rPr>
        <w:t xml:space="preserve">Contents</w:t>
      </w:r>
      <w:r>
        <w:t xml:space="preserve"> </w:t>
      </w:r>
      <w:r>
        <w:t xml:space="preserve">pane, drag the layers into this order (top to bottom):</w:t>
      </w:r>
      <w:r>
        <w:t xml:space="preserve"> </w:t>
      </w:r>
      <w:r>
        <w:rPr>
          <w:rStyle w:val="VerbatimChar"/>
        </w:rPr>
        <w:t xml:space="preserve">GSI_public_projects</w:t>
      </w:r>
      <w:r>
        <w:t xml:space="preserve">,</w:t>
      </w:r>
      <w:r>
        <w:t xml:space="preserve"> </w:t>
      </w:r>
      <w:r>
        <w:rPr>
          <w:rStyle w:val="VerbatimChar"/>
        </w:rPr>
        <w:t xml:space="preserve">100_yr_flood</w:t>
      </w:r>
      <w:r>
        <w:t xml:space="preserve">,</w:t>
      </w:r>
      <w:r>
        <w:t xml:space="preserve"> </w:t>
      </w:r>
      <w:r>
        <w:rPr>
          <w:rStyle w:val="VerbatimChar"/>
        </w:rPr>
        <w:t xml:space="preserve">Philadelphia_census_tracts</w:t>
      </w:r>
      <w:r>
        <w:t xml:space="preserve">. Click and hold a layer name, drag it to the desired position, and release when a black line appears at the target location.</w:t>
      </w:r>
    </w:p>
    <w:p>
      <w:pPr>
        <w:pStyle w:val="BlockText"/>
      </w:pPr>
      <w:r>
        <w:rPr>
          <w:b/>
        </w:rPr>
        <w:t xml:space="preserve">Public health note:</w:t>
      </w:r>
      <w:r>
        <w:t xml:space="preserve"> </w:t>
      </w:r>
      <w:r>
        <w:t xml:space="preserve">Layer order matters. Polygons drawn on top of other polygons will hide them. Points and lines should sit above polygon layers so they remain visible.</w:t>
      </w:r>
    </w:p>
    <w:p>
      <w:pPr>
        <w:pStyle w:val="Heading3"/>
      </w:pPr>
      <w:bookmarkStart w:id="30" w:name="navigate-the-map"/>
      <w:r>
        <w:t xml:space="preserve">1.4 Navigate the map</w:t>
      </w:r>
      <w:bookmarkEnd w:id="30"/>
    </w:p>
    <w:p>
      <w:pPr>
        <w:numPr>
          <w:ilvl w:val="0"/>
          <w:numId w:val="1010"/>
        </w:numPr>
        <w:pStyle w:val="Compact"/>
      </w:pPr>
      <w:r>
        <w:t xml:space="preserve">On the</w:t>
      </w:r>
      <w:r>
        <w:t xml:space="preserve"> </w:t>
      </w:r>
      <w:r>
        <w:rPr>
          <w:b/>
        </w:rPr>
        <w:t xml:space="preserve">Map</w:t>
      </w:r>
      <w:r>
        <w:t xml:space="preserve"> </w:t>
      </w:r>
      <w:r>
        <w:t xml:space="preserve">tab, in the</w:t>
      </w:r>
      <w:r>
        <w:t xml:space="preserve"> </w:t>
      </w:r>
      <w:r>
        <w:rPr>
          <w:b/>
        </w:rPr>
        <w:t xml:space="preserve">Navigate</w:t>
      </w:r>
      <w:r>
        <w:t xml:space="preserve"> </w:t>
      </w:r>
      <w:r>
        <w:t xml:space="preserve">group, use the</w:t>
      </w:r>
      <w:r>
        <w:t xml:space="preserve"> </w:t>
      </w:r>
      <w:r>
        <w:rPr>
          <w:b/>
        </w:rPr>
        <w:t xml:space="preserve">Explore</w:t>
      </w:r>
      <w:r>
        <w:t xml:space="preserve"> </w:t>
      </w:r>
      <w:r>
        <w:t xml:space="preserve">tool (hand icon) to pan by left-click-dragging on the map. Roll the scroll wheel forward to zoom in, backward to zoom out.</w:t>
      </w:r>
    </w:p>
    <w:p>
      <w:pPr>
        <w:numPr>
          <w:ilvl w:val="0"/>
          <w:numId w:val="1010"/>
        </w:numPr>
        <w:pStyle w:val="Compact"/>
      </w:pPr>
      <w:r>
        <w:t xml:space="preserve">Click the</w:t>
      </w:r>
      <w:r>
        <w:t xml:space="preserve"> </w:t>
      </w:r>
      <w:r>
        <w:rPr>
          <w:b/>
        </w:rPr>
        <w:t xml:space="preserve">Full Extent</w:t>
      </w:r>
      <w:r>
        <w:t xml:space="preserve"> </w:t>
      </w:r>
      <w:r>
        <w:t xml:space="preserve">button (globe icon in the</w:t>
      </w:r>
      <w:r>
        <w:t xml:space="preserve"> </w:t>
      </w:r>
      <w:r>
        <w:rPr>
          <w:b/>
        </w:rPr>
        <w:t xml:space="preserve">Navigate</w:t>
      </w:r>
      <w:r>
        <w:t xml:space="preserve"> </w:t>
      </w:r>
      <w:r>
        <w:t xml:space="preserve">group) to zoom to all layers.</w:t>
      </w:r>
    </w:p>
    <w:p>
      <w:pPr>
        <w:numPr>
          <w:ilvl w:val="0"/>
          <w:numId w:val="1010"/>
        </w:numPr>
        <w:pStyle w:val="Compact"/>
      </w:pPr>
      <w:r>
        <w:t xml:space="preserve">To save a named view, on the</w:t>
      </w:r>
      <w:r>
        <w:t xml:space="preserve"> </w:t>
      </w:r>
      <w:r>
        <w:rPr>
          <w:b/>
        </w:rPr>
        <w:t xml:space="preserve">Map</w:t>
      </w:r>
      <w:r>
        <w:t xml:space="preserve"> </w:t>
      </w:r>
      <w:r>
        <w:t xml:space="preserve">tab click</w:t>
      </w:r>
      <w:r>
        <w:t xml:space="preserve"> </w:t>
      </w:r>
      <w:r>
        <w:rPr>
          <w:b/>
        </w:rPr>
        <w:t xml:space="preserve">Bookmarks → New Bookmark</w:t>
      </w:r>
      <w:r>
        <w:t xml:space="preserve">. Name it</w:t>
      </w:r>
      <w:r>
        <w:t xml:space="preserve"> </w:t>
      </w:r>
      <w:r>
        <w:rPr>
          <w:rStyle w:val="VerbatimChar"/>
        </w:rPr>
        <w:t xml:space="preserve">Philadelphia full extent</w:t>
      </w:r>
      <w:r>
        <w:t xml:space="preserve"> </w:t>
      </w:r>
      <w:r>
        <w:t xml:space="preserve">and click</w:t>
      </w:r>
      <w:r>
        <w:t xml:space="preserve"> </w:t>
      </w:r>
      <w:r>
        <w:rPr>
          <w:b/>
        </w:rPr>
        <w:t xml:space="preserve">OK</w:t>
      </w:r>
      <w:r>
        <w:t xml:space="preserve">. You can return to this view any time via</w:t>
      </w:r>
      <w:r>
        <w:t xml:space="preserve"> </w:t>
      </w:r>
      <w:r>
        <w:rPr>
          <w:b/>
        </w:rPr>
        <w:t xml:space="preserve">Bookmarks</w:t>
      </w:r>
      <w:r>
        <w:t xml:space="preserve">.</w:t>
      </w:r>
    </w:p>
    <w:p>
      <w:r>
        <w:pict>
          <v:rect style="width:0;height:1.5pt" o:hralign="center" o:hrstd="t" o:hr="t"/>
        </w:pict>
      </w:r>
    </w:p>
    <w:p>
      <w:pPr>
        <w:pStyle w:val="Heading2"/>
      </w:pPr>
      <w:bookmarkStart w:id="31" w:name="X65f294963715d186da6b6232f785174b639e540"/>
      <w:r>
        <w:t xml:space="preserve">Part 2: Symbology for Map 1 — flood and green infrastructure</w:t>
      </w:r>
      <w:bookmarkEnd w:id="31"/>
    </w:p>
    <w:p>
      <w:pPr>
        <w:pStyle w:val="Heading3"/>
      </w:pPr>
      <w:bookmarkStart w:id="32" w:name="X681b208b8af6c567d118f9e8088d787e5f2eb3c"/>
      <w:r>
        <w:t xml:space="preserve">2.1 Symbolize census tracts (single symbol — outline only)</w:t>
      </w:r>
      <w:bookmarkEnd w:id="32"/>
    </w:p>
    <w:p>
      <w:pPr>
        <w:numPr>
          <w:ilvl w:val="0"/>
          <w:numId w:val="1011"/>
        </w:numPr>
        <w:pStyle w:val="Compact"/>
      </w:pPr>
      <w:r>
        <w:t xml:space="preserve">In the</w:t>
      </w:r>
      <w:r>
        <w:t xml:space="preserve"> </w:t>
      </w:r>
      <w:r>
        <w:rPr>
          <w:b/>
        </w:rPr>
        <w:t xml:space="preserve">Contents</w:t>
      </w:r>
      <w:r>
        <w:t xml:space="preserve"> </w:t>
      </w:r>
      <w:r>
        <w:t xml:space="preserve">pane, click on</w:t>
      </w:r>
      <w:r>
        <w:t xml:space="preserve"> </w:t>
      </w:r>
      <w:r>
        <w:rPr>
          <w:rStyle w:val="VerbatimChar"/>
        </w:rPr>
        <w:t xml:space="preserve">Philadelphia_census_tracts</w:t>
      </w:r>
      <w:r>
        <w:t xml:space="preserve"> </w:t>
      </w:r>
      <w:r>
        <w:t xml:space="preserve">to select it.</w:t>
      </w:r>
    </w:p>
    <w:p>
      <w:pPr>
        <w:numPr>
          <w:ilvl w:val="0"/>
          <w:numId w:val="1011"/>
        </w:numPr>
        <w:pStyle w:val="Compact"/>
      </w:pPr>
      <w:r>
        <w:t xml:space="preserve">On the</w:t>
      </w:r>
      <w:r>
        <w:t xml:space="preserve"> </w:t>
      </w:r>
      <w:r>
        <w:rPr>
          <w:b/>
        </w:rPr>
        <w:t xml:space="preserve">Appearance</w:t>
      </w:r>
      <w:r>
        <w:t xml:space="preserve"> </w:t>
      </w:r>
      <w:r>
        <w:t xml:space="preserve">tab (visible when a layer is selected), click</w:t>
      </w:r>
      <w:r>
        <w:t xml:space="preserve"> </w:t>
      </w:r>
      <w:r>
        <w:rPr>
          <w:b/>
        </w:rPr>
        <w:t xml:space="preserve">Symbology</w:t>
      </w:r>
      <w:r>
        <w:t xml:space="preserve">. The</w:t>
      </w:r>
      <w:r>
        <w:t xml:space="preserve"> </w:t>
      </w:r>
      <w:r>
        <w:rPr>
          <w:b/>
        </w:rPr>
        <w:t xml:space="preserve">Symbology</w:t>
      </w:r>
      <w:r>
        <w:t xml:space="preserve"> </w:t>
      </w:r>
      <w:r>
        <w:t xml:space="preserve">pane opens on the right.</w:t>
      </w:r>
    </w:p>
    <w:p>
      <w:pPr>
        <w:numPr>
          <w:ilvl w:val="0"/>
          <w:numId w:val="1011"/>
        </w:numPr>
        <w:pStyle w:val="Compact"/>
      </w:pPr>
      <w:r>
        <w:t xml:space="preserve">Confirm the method is set to</w:t>
      </w:r>
      <w:r>
        <w:t xml:space="preserve"> </w:t>
      </w:r>
      <w:r>
        <w:rPr>
          <w:b/>
        </w:rPr>
        <w:t xml:space="preserve">Single Symbol</w:t>
      </w:r>
      <w:r>
        <w:t xml:space="preserve">. Click the colored patch under</w:t>
      </w:r>
      <w:r>
        <w:t xml:space="preserve"> </w:t>
      </w:r>
      <w:r>
        <w:rPr>
          <w:b/>
        </w:rPr>
        <w:t xml:space="preserve">Symbol</w:t>
      </w:r>
      <w:r>
        <w:t xml:space="preserve"> </w:t>
      </w:r>
      <w:r>
        <w:t xml:space="preserve">to open the symbol editor.</w:t>
      </w:r>
    </w:p>
    <w:p>
      <w:pPr>
        <w:numPr>
          <w:ilvl w:val="0"/>
          <w:numId w:val="1011"/>
        </w:numPr>
        <w:pStyle w:val="Compact"/>
      </w:pPr>
      <w:r>
        <w:t xml:space="preserve">In the</w:t>
      </w:r>
      <w:r>
        <w:t xml:space="preserve"> </w:t>
      </w:r>
      <w:r>
        <w:rPr>
          <w:b/>
        </w:rPr>
        <w:t xml:space="preserve">Format Polygon Symbol</w:t>
      </w:r>
      <w:r>
        <w:t xml:space="preserve"> </w:t>
      </w:r>
      <w:r>
        <w:t xml:space="preserve">window, click</w:t>
      </w:r>
      <w:r>
        <w:t xml:space="preserve"> </w:t>
      </w:r>
      <w:r>
        <w:rPr>
          <w:b/>
        </w:rPr>
        <w:t xml:space="preserve">Properties</w:t>
      </w:r>
      <w:r>
        <w:t xml:space="preserve">. Set</w:t>
      </w:r>
      <w:r>
        <w:t xml:space="preserve"> </w:t>
      </w:r>
      <w:r>
        <w:rPr>
          <w:b/>
        </w:rPr>
        <w:t xml:space="preserve">Color</w:t>
      </w:r>
      <w:r>
        <w:t xml:space="preserve"> </w:t>
      </w:r>
      <w:r>
        <w:t xml:space="preserve">to</w:t>
      </w:r>
      <w:r>
        <w:t xml:space="preserve"> </w:t>
      </w:r>
      <w:r>
        <w:rPr>
          <w:b/>
        </w:rPr>
        <w:t xml:space="preserve">No Color</w:t>
      </w:r>
      <w:r>
        <w:t xml:space="preserve"> </w:t>
      </w:r>
      <w:r>
        <w:t xml:space="preserve">(transparent fill) and</w:t>
      </w:r>
      <w:r>
        <w:t xml:space="preserve"> </w:t>
      </w:r>
      <w:r>
        <w:rPr>
          <w:b/>
        </w:rPr>
        <w:t xml:space="preserve">Outline Color</w:t>
      </w:r>
      <w:r>
        <w:t xml:space="preserve"> </w:t>
      </w:r>
      <w:r>
        <w:t xml:space="preserve">to a medium gray (e.g., 50% gray). Set</w:t>
      </w:r>
      <w:r>
        <w:t xml:space="preserve"> </w:t>
      </w:r>
      <w:r>
        <w:rPr>
          <w:b/>
        </w:rPr>
        <w:t xml:space="preserve">Outline Width</w:t>
      </w:r>
      <w:r>
        <w:t xml:space="preserve"> </w:t>
      </w:r>
      <w:r>
        <w:t xml:space="preserve">to</w:t>
      </w:r>
      <w:r>
        <w:t xml:space="preserve"> </w:t>
      </w:r>
      <w:r>
        <w:rPr>
          <w:rStyle w:val="VerbatimChar"/>
        </w:rPr>
        <w:t xml:space="preserve">0.5 pt</w:t>
      </w:r>
      <w:r>
        <w:t xml:space="preserve">. Click</w:t>
      </w:r>
      <w:r>
        <w:t xml:space="preserve"> </w:t>
      </w:r>
      <w:r>
        <w:rPr>
          <w:b/>
        </w:rPr>
        <w:t xml:space="preserve">Apply</w:t>
      </w:r>
      <w:r>
        <w:t xml:space="preserve">, then</w:t>
      </w:r>
      <w:r>
        <w:t xml:space="preserve"> </w:t>
      </w:r>
      <w:r>
        <w:rPr>
          <w:b/>
        </w:rPr>
        <w:t xml:space="preserve">OK</w:t>
      </w:r>
      <w:r>
        <w:t xml:space="preserve">.</w:t>
      </w:r>
    </w:p>
    <w:p>
      <w:pPr>
        <w:pStyle w:val="Heading3"/>
      </w:pPr>
      <w:bookmarkStart w:id="33" w:name="X995d31535b81070a891893cf306e8c3f3296fa7"/>
      <w:r>
        <w:t xml:space="preserve">2.2 Symbolize flood zones (single symbol — colored fill)</w:t>
      </w:r>
      <w:bookmarkEnd w:id="33"/>
    </w:p>
    <w:p>
      <w:pPr>
        <w:numPr>
          <w:ilvl w:val="0"/>
          <w:numId w:val="1012"/>
        </w:numPr>
        <w:pStyle w:val="Compact"/>
      </w:pPr>
      <w:r>
        <w:t xml:space="preserve">Click</w:t>
      </w:r>
      <w:r>
        <w:t xml:space="preserve"> </w:t>
      </w:r>
      <w:r>
        <w:rPr>
          <w:rStyle w:val="VerbatimChar"/>
        </w:rPr>
        <w:t xml:space="preserve">100_yr_flood</w:t>
      </w:r>
      <w:r>
        <w:t xml:space="preserve"> </w:t>
      </w:r>
      <w:r>
        <w:t xml:space="preserve">in the</w:t>
      </w:r>
      <w:r>
        <w:t xml:space="preserve"> </w:t>
      </w:r>
      <w:r>
        <w:rPr>
          <w:b/>
        </w:rPr>
        <w:t xml:space="preserve">Contents</w:t>
      </w:r>
      <w:r>
        <w:t xml:space="preserve"> </w:t>
      </w:r>
      <w:r>
        <w:t xml:space="preserve">pane. Open</w:t>
      </w:r>
      <w:r>
        <w:t xml:space="preserve"> </w:t>
      </w:r>
      <w:r>
        <w:rPr>
          <w:b/>
        </w:rPr>
        <w:t xml:space="preserve">Symbology</w:t>
      </w:r>
      <w:r>
        <w:t xml:space="preserve"> </w:t>
      </w:r>
      <w:r>
        <w:t xml:space="preserve">as above.</w:t>
      </w:r>
    </w:p>
    <w:p>
      <w:pPr>
        <w:numPr>
          <w:ilvl w:val="0"/>
          <w:numId w:val="1012"/>
        </w:numPr>
        <w:pStyle w:val="Compact"/>
      </w:pPr>
      <w:r>
        <w:t xml:space="preserve">Set</w:t>
      </w:r>
      <w:r>
        <w:t xml:space="preserve"> </w:t>
      </w:r>
      <w:r>
        <w:rPr>
          <w:b/>
        </w:rPr>
        <w:t xml:space="preserve">Color</w:t>
      </w:r>
      <w:r>
        <w:t xml:space="preserve"> </w:t>
      </w:r>
      <w:r>
        <w:t xml:space="preserve">to a light blue (low opacity or light shade), and</w:t>
      </w:r>
      <w:r>
        <w:t xml:space="preserve"> </w:t>
      </w:r>
      <w:r>
        <w:rPr>
          <w:b/>
        </w:rPr>
        <w:t xml:space="preserve">Outline Color</w:t>
      </w:r>
      <w:r>
        <w:t xml:space="preserve"> </w:t>
      </w:r>
      <w:r>
        <w:t xml:space="preserve">to the same blue,</w:t>
      </w:r>
      <w:r>
        <w:t xml:space="preserve"> </w:t>
      </w:r>
      <w:r>
        <w:rPr>
          <w:rStyle w:val="VerbatimChar"/>
        </w:rPr>
        <w:t xml:space="preserve">0.5 pt</w:t>
      </w:r>
      <w:r>
        <w:t xml:space="preserve"> </w:t>
      </w:r>
      <w:r>
        <w:t xml:space="preserve">wide. Click</w:t>
      </w:r>
      <w:r>
        <w:t xml:space="preserve"> </w:t>
      </w:r>
      <w:r>
        <w:rPr>
          <w:b/>
        </w:rPr>
        <w:t xml:space="preserve">Apply</w:t>
      </w:r>
      <w:r>
        <w:t xml:space="preserve">, then</w:t>
      </w:r>
      <w:r>
        <w:t xml:space="preserve"> </w:t>
      </w:r>
      <w:r>
        <w:rPr>
          <w:b/>
        </w:rPr>
        <w:t xml:space="preserve">OK</w:t>
      </w:r>
      <w:r>
        <w:t xml:space="preserve">.</w:t>
      </w:r>
    </w:p>
    <w:p>
      <w:pPr>
        <w:pStyle w:val="BlockText"/>
      </w:pPr>
      <w:r>
        <w:rPr>
          <w:b/>
        </w:rPr>
        <w:t xml:space="preserve">Public health note:</w:t>
      </w:r>
      <w:r>
        <w:t xml:space="preserve"> </w:t>
      </w:r>
      <w:r>
        <w:t xml:space="preserve">FEMA 100-year flood zones indicate areas with a 1% annual probability of flooding. These zones concentrate infrastructure damage, displacement, and the health consequences of repeated flood events — disproportionately affecting lower-income communities.</w:t>
      </w:r>
    </w:p>
    <w:p>
      <w:pPr>
        <w:pStyle w:val="Heading3"/>
      </w:pPr>
      <w:bookmarkStart w:id="34" w:name="X60433bdbd5306748220f6f6fb32369edba6aa05"/>
      <w:r>
        <w:t xml:space="preserve">2.3 Symbolize GSI projects (single symbol — points)</w:t>
      </w:r>
      <w:bookmarkEnd w:id="34"/>
    </w:p>
    <w:p>
      <w:pPr>
        <w:numPr>
          <w:ilvl w:val="0"/>
          <w:numId w:val="1013"/>
        </w:numPr>
        <w:pStyle w:val="Compact"/>
      </w:pPr>
      <w:r>
        <w:t xml:space="preserve">Click</w:t>
      </w:r>
      <w:r>
        <w:t xml:space="preserve"> </w:t>
      </w:r>
      <w:r>
        <w:rPr>
          <w:rStyle w:val="VerbatimChar"/>
        </w:rPr>
        <w:t xml:space="preserve">GSI_public_projects</w:t>
      </w:r>
      <w:r>
        <w:t xml:space="preserve"> </w:t>
      </w:r>
      <w:r>
        <w:t xml:space="preserve">in the</w:t>
      </w:r>
      <w:r>
        <w:t xml:space="preserve"> </w:t>
      </w:r>
      <w:r>
        <w:rPr>
          <w:b/>
        </w:rPr>
        <w:t xml:space="preserve">Contents</w:t>
      </w:r>
      <w:r>
        <w:t xml:space="preserve"> </w:t>
      </w:r>
      <w:r>
        <w:t xml:space="preserve">pane. Open</w:t>
      </w:r>
      <w:r>
        <w:t xml:space="preserve"> </w:t>
      </w:r>
      <w:r>
        <w:rPr>
          <w:b/>
        </w:rPr>
        <w:t xml:space="preserve">Symbology</w:t>
      </w:r>
      <w:r>
        <w:t xml:space="preserve">.</w:t>
      </w:r>
    </w:p>
    <w:p>
      <w:pPr>
        <w:numPr>
          <w:ilvl w:val="0"/>
          <w:numId w:val="1013"/>
        </w:numPr>
        <w:pStyle w:val="Compact"/>
      </w:pPr>
      <w:r>
        <w:t xml:space="preserve">Click the point symbol to open the editor. Choose a small circle in a contrasting color (dark green works well for stormwater/green infrastructure). Set size to</w:t>
      </w:r>
      <w:r>
        <w:t xml:space="preserve"> </w:t>
      </w:r>
      <w:r>
        <w:rPr>
          <w:rStyle w:val="VerbatimChar"/>
        </w:rPr>
        <w:t xml:space="preserve">6 pt</w:t>
      </w:r>
      <w:r>
        <w:t xml:space="preserve">. Click</w:t>
      </w:r>
      <w:r>
        <w:t xml:space="preserve"> </w:t>
      </w:r>
      <w:r>
        <w:rPr>
          <w:b/>
        </w:rPr>
        <w:t xml:space="preserve">Apply</w:t>
      </w:r>
      <w:r>
        <w:t xml:space="preserve">, then</w:t>
      </w:r>
      <w:r>
        <w:t xml:space="preserve"> </w:t>
      </w:r>
      <w:r>
        <w:rPr>
          <w:b/>
        </w:rPr>
        <w:t xml:space="preserve">OK</w:t>
      </w:r>
      <w:r>
        <w:t xml:space="preserve">.</w:t>
      </w:r>
    </w:p>
    <w:p>
      <w:pPr>
        <w:pStyle w:val="FirstParagraph"/>
      </w:pPr>
      <w:r>
        <w:rPr>
          <w:i/>
        </w:rPr>
        <w:t xml:space="preserve">[Figure: Contents pane showing layer order; map showing gray tract outlines, light blue flood zone, and green GSI points]</w:t>
      </w:r>
    </w:p>
    <w:p>
      <w:r>
        <w:pict>
          <v:rect style="width:0;height:1.5pt" o:hralign="center" o:hrstd="t" o:hr="t"/>
        </w:pict>
      </w:r>
    </w:p>
    <w:p>
      <w:pPr>
        <w:pStyle w:val="Heading2"/>
      </w:pPr>
      <w:bookmarkStart w:id="35" w:name="X90fb02b96880fabfa518ecea7ff0387f9548a0b"/>
      <w:r>
        <w:t xml:space="preserve">Part 3: Building Layout 1 and exporting Map 1</w:t>
      </w:r>
      <w:bookmarkEnd w:id="35"/>
    </w:p>
    <w:p>
      <w:pPr>
        <w:pStyle w:val="Heading3"/>
      </w:pPr>
      <w:bookmarkStart w:id="36" w:name="create-a-layout"/>
      <w:r>
        <w:t xml:space="preserve">3.1 Create a layout</w:t>
      </w:r>
      <w:bookmarkEnd w:id="36"/>
    </w:p>
    <w:p>
      <w:pPr>
        <w:numPr>
          <w:ilvl w:val="0"/>
          <w:numId w:val="1014"/>
        </w:numPr>
        <w:pStyle w:val="Compact"/>
      </w:pPr>
      <w:r>
        <w:t xml:space="preserve">On the</w:t>
      </w:r>
      <w:r>
        <w:t xml:space="preserve"> </w:t>
      </w:r>
      <w:r>
        <w:rPr>
          <w:b/>
        </w:rPr>
        <w:t xml:space="preserve">Insert</w:t>
      </w:r>
      <w:r>
        <w:t xml:space="preserve"> </w:t>
      </w:r>
      <w:r>
        <w:t xml:space="preserve">tab, click</w:t>
      </w:r>
      <w:r>
        <w:t xml:space="preserve"> </w:t>
      </w:r>
      <w:r>
        <w:rPr>
          <w:b/>
        </w:rPr>
        <w:t xml:space="preserve">New Layout</w:t>
      </w:r>
      <w:r>
        <w:t xml:space="preserve">. Choose</w:t>
      </w:r>
      <w:r>
        <w:t xml:space="preserve"> </w:t>
      </w:r>
      <w:r>
        <w:rPr>
          <w:b/>
        </w:rPr>
        <w:t xml:space="preserve">Letter (8.5 × 11 in)</w:t>
      </w:r>
      <w:r>
        <w:t xml:space="preserve"> </w:t>
      </w:r>
      <w:r>
        <w:t xml:space="preserve">in</w:t>
      </w:r>
      <w:r>
        <w:t xml:space="preserve"> </w:t>
      </w:r>
      <w:r>
        <w:rPr>
          <w:b/>
        </w:rPr>
        <w:t xml:space="preserve">Landscape</w:t>
      </w:r>
      <w:r>
        <w:t xml:space="preserve"> </w:t>
      </w:r>
      <w:r>
        <w:t xml:space="preserve">orientation.</w:t>
      </w:r>
    </w:p>
    <w:p>
      <w:pPr>
        <w:numPr>
          <w:ilvl w:val="0"/>
          <w:numId w:val="1014"/>
        </w:numPr>
        <w:pStyle w:val="Compact"/>
      </w:pPr>
      <w:r>
        <w:t xml:space="preserve">A blank layout canvas opens. The ribbon switches to the</w:t>
      </w:r>
      <w:r>
        <w:t xml:space="preserve"> </w:t>
      </w:r>
      <w:r>
        <w:rPr>
          <w:b/>
        </w:rPr>
        <w:t xml:space="preserve">Layout</w:t>
      </w:r>
      <w:r>
        <w:t xml:space="preserve"> </w:t>
      </w:r>
      <w:r>
        <w:t xml:space="preserve">tab.</w:t>
      </w:r>
    </w:p>
    <w:p>
      <w:pPr>
        <w:numPr>
          <w:ilvl w:val="0"/>
          <w:numId w:val="1014"/>
        </w:numPr>
        <w:pStyle w:val="Compact"/>
      </w:pPr>
      <w:r>
        <w:t xml:space="preserve">On the</w:t>
      </w:r>
      <w:r>
        <w:t xml:space="preserve"> </w:t>
      </w:r>
      <w:r>
        <w:rPr>
          <w:b/>
        </w:rPr>
        <w:t xml:space="preserve">Insert</w:t>
      </w:r>
      <w:r>
        <w:t xml:space="preserve"> </w:t>
      </w:r>
      <w:r>
        <w:t xml:space="preserve">tab, click the</w:t>
      </w:r>
      <w:r>
        <w:t xml:space="preserve"> </w:t>
      </w:r>
      <w:r>
        <w:rPr>
          <w:b/>
        </w:rPr>
        <w:t xml:space="preserve">Map Frame</w:t>
      </w:r>
      <w:r>
        <w:t xml:space="preserve"> </w:t>
      </w:r>
      <w:r>
        <w:t xml:space="preserve">dropdown and select your current map. Click and drag on the layout canvas to place the map frame — leave margins for the legend, title, and other elements.</w:t>
      </w:r>
    </w:p>
    <w:p>
      <w:pPr>
        <w:pStyle w:val="FirstParagraph"/>
      </w:pPr>
      <w:r>
        <w:rPr>
          <w:i/>
        </w:rPr>
        <w:t xml:space="preserve">[Figure: Layout canvas with the map frame placed, showing handles at the corners for resizing]</w:t>
      </w:r>
    </w:p>
    <w:p>
      <w:pPr>
        <w:pStyle w:val="Heading3"/>
      </w:pPr>
      <w:bookmarkStart w:id="37" w:name="add-map-elements"/>
      <w:r>
        <w:t xml:space="preserve">3.2 Add map elements</w:t>
      </w:r>
      <w:bookmarkEnd w:id="37"/>
    </w:p>
    <w:p>
      <w:pPr>
        <w:numPr>
          <w:ilvl w:val="0"/>
          <w:numId w:val="1015"/>
        </w:numPr>
        <w:pStyle w:val="Compact"/>
      </w:pPr>
      <w:r>
        <w:rPr>
          <w:b/>
        </w:rPr>
        <w:t xml:space="preserve">Title:</w:t>
      </w:r>
      <w:r>
        <w:t xml:space="preserve"> </w:t>
      </w:r>
      <w:r>
        <w:t xml:space="preserve">On the</w:t>
      </w:r>
      <w:r>
        <w:t xml:space="preserve"> </w:t>
      </w:r>
      <w:r>
        <w:rPr>
          <w:b/>
        </w:rPr>
        <w:t xml:space="preserve">Insert</w:t>
      </w:r>
      <w:r>
        <w:t xml:space="preserve"> </w:t>
      </w:r>
      <w:r>
        <w:t xml:space="preserve">tab, click</w:t>
      </w:r>
      <w:r>
        <w:t xml:space="preserve"> </w:t>
      </w:r>
      <w:r>
        <w:rPr>
          <w:b/>
        </w:rPr>
        <w:t xml:space="preserve">Text → Straight Text</w:t>
      </w:r>
      <w:r>
        <w:t xml:space="preserve">. Click near the top of the layout and type:</w:t>
      </w:r>
      <w:r>
        <w:t xml:space="preserve"> </w:t>
      </w:r>
      <w:r>
        <w:rPr>
          <w:rStyle w:val="VerbatimChar"/>
        </w:rPr>
        <w:t xml:space="preserve">Green Stormwater Infrastructure and 100-Year Flood Zones, Philadelphia</w:t>
      </w:r>
      <w:r>
        <w:t xml:space="preserve">. Use the</w:t>
      </w:r>
      <w:r>
        <w:t xml:space="preserve"> </w:t>
      </w:r>
      <w:r>
        <w:rPr>
          <w:b/>
        </w:rPr>
        <w:t xml:space="preserve">Element</w:t>
      </w:r>
      <w:r>
        <w:t xml:space="preserve"> </w:t>
      </w:r>
      <w:r>
        <w:t xml:space="preserve">pane (right) to set font size to 14 pt, bold.</w:t>
      </w:r>
    </w:p>
    <w:p>
      <w:pPr>
        <w:numPr>
          <w:ilvl w:val="0"/>
          <w:numId w:val="1015"/>
        </w:numPr>
        <w:pStyle w:val="Compact"/>
      </w:pPr>
      <w:r>
        <w:rPr>
          <w:b/>
        </w:rPr>
        <w:t xml:space="preserve">North Arrow:</w:t>
      </w:r>
      <w:r>
        <w:t xml:space="preserve"> </w:t>
      </w:r>
      <w:r>
        <w:t xml:space="preserve">On the</w:t>
      </w:r>
      <w:r>
        <w:t xml:space="preserve"> </w:t>
      </w:r>
      <w:r>
        <w:rPr>
          <w:b/>
        </w:rPr>
        <w:t xml:space="preserve">Insert</w:t>
      </w:r>
      <w:r>
        <w:t xml:space="preserve"> </w:t>
      </w:r>
      <w:r>
        <w:t xml:space="preserve">tab, click the</w:t>
      </w:r>
      <w:r>
        <w:t xml:space="preserve"> </w:t>
      </w:r>
      <w:r>
        <w:rPr>
          <w:b/>
        </w:rPr>
        <w:t xml:space="preserve">North Arrow</w:t>
      </w:r>
      <w:r>
        <w:t xml:space="preserve"> </w:t>
      </w:r>
      <w:r>
        <w:t xml:space="preserve">dropdown and choose a simple style. Double-click to place it, then drag to the lower-right corner of the map frame.</w:t>
      </w:r>
    </w:p>
    <w:p>
      <w:pPr>
        <w:numPr>
          <w:ilvl w:val="0"/>
          <w:numId w:val="1015"/>
        </w:numPr>
        <w:pStyle w:val="Compact"/>
      </w:pPr>
      <w:r>
        <w:rPr>
          <w:b/>
        </w:rPr>
        <w:t xml:space="preserve">Scale Bar:</w:t>
      </w:r>
      <w:r>
        <w:t xml:space="preserve"> </w:t>
      </w:r>
      <w:r>
        <w:t xml:space="preserve">On the</w:t>
      </w:r>
      <w:r>
        <w:t xml:space="preserve"> </w:t>
      </w:r>
      <w:r>
        <w:rPr>
          <w:b/>
        </w:rPr>
        <w:t xml:space="preserve">Insert</w:t>
      </w:r>
      <w:r>
        <w:t xml:space="preserve"> </w:t>
      </w:r>
      <w:r>
        <w:t xml:space="preserve">tab, click the</w:t>
      </w:r>
      <w:r>
        <w:t xml:space="preserve"> </w:t>
      </w:r>
      <w:r>
        <w:rPr>
          <w:b/>
        </w:rPr>
        <w:t xml:space="preserve">Scale Bar</w:t>
      </w:r>
      <w:r>
        <w:t xml:space="preserve"> </w:t>
      </w:r>
      <w:r>
        <w:t xml:space="preserve">dropdown and choose a single-division bar in miles. Drag to place it near the north arrow. Click the scale bar to select it; use the</w:t>
      </w:r>
      <w:r>
        <w:t xml:space="preserve"> </w:t>
      </w:r>
      <w:r>
        <w:rPr>
          <w:b/>
        </w:rPr>
        <w:t xml:space="preserve">Design</w:t>
      </w:r>
      <w:r>
        <w:t xml:space="preserve"> </w:t>
      </w:r>
      <w:r>
        <w:t xml:space="preserve">tab to set the number of divisions and label size so the bar reads clearly (e.g., 0–2–4 miles, 10 pt font).</w:t>
      </w:r>
    </w:p>
    <w:p>
      <w:pPr>
        <w:numPr>
          <w:ilvl w:val="0"/>
          <w:numId w:val="1015"/>
        </w:numPr>
        <w:pStyle w:val="Compact"/>
      </w:pPr>
      <w:r>
        <w:rPr>
          <w:b/>
        </w:rPr>
        <w:t xml:space="preserve">Legend:</w:t>
      </w:r>
      <w:r>
        <w:t xml:space="preserve"> </w:t>
      </w:r>
      <w:r>
        <w:t xml:space="preserve">On the</w:t>
      </w:r>
      <w:r>
        <w:t xml:space="preserve"> </w:t>
      </w:r>
      <w:r>
        <w:rPr>
          <w:b/>
        </w:rPr>
        <w:t xml:space="preserve">Insert</w:t>
      </w:r>
      <w:r>
        <w:t xml:space="preserve"> </w:t>
      </w:r>
      <w:r>
        <w:t xml:space="preserve">tab, click</w:t>
      </w:r>
      <w:r>
        <w:t xml:space="preserve"> </w:t>
      </w:r>
      <w:r>
        <w:rPr>
          <w:b/>
        </w:rPr>
        <w:t xml:space="preserve">Legend</w:t>
      </w:r>
      <w:r>
        <w:t xml:space="preserve">. Click and drag to place a legend box in an open area of the layout. In the</w:t>
      </w:r>
      <w:r>
        <w:t xml:space="preserve"> </w:t>
      </w:r>
      <w:r>
        <w:rPr>
          <w:b/>
        </w:rPr>
        <w:t xml:space="preserve">Legend</w:t>
      </w:r>
      <w:r>
        <w:t xml:space="preserve"> </w:t>
      </w:r>
      <w:r>
        <w:t xml:space="preserve">element pane, remove the basemap entry if present. Verify that all three layers appear with readable labels.</w:t>
      </w:r>
    </w:p>
    <w:p>
      <w:pPr>
        <w:numPr>
          <w:ilvl w:val="0"/>
          <w:numId w:val="1015"/>
        </w:numPr>
        <w:pStyle w:val="Compact"/>
      </w:pPr>
      <w:r>
        <w:t xml:space="preserve">Add a text element with your name and today’s date.</w:t>
      </w:r>
    </w:p>
    <w:p>
      <w:pPr>
        <w:pStyle w:val="BlockText"/>
      </w:pPr>
      <w:r>
        <w:rPr>
          <w:b/>
        </w:rPr>
        <w:t xml:space="preserve">Warning:</w:t>
      </w:r>
      <w:r>
        <w:t xml:space="preserve"> </w:t>
      </w:r>
      <w:r>
        <w:t xml:space="preserve">If the legend font is too small to read at 100% zoom, select the legend, click</w:t>
      </w:r>
      <w:r>
        <w:t xml:space="preserve"> </w:t>
      </w:r>
      <w:r>
        <w:rPr>
          <w:b/>
        </w:rPr>
        <w:t xml:space="preserve">Text Symbol</w:t>
      </w:r>
      <w:r>
        <w:t xml:space="preserve"> </w:t>
      </w:r>
      <w:r>
        <w:t xml:space="preserve">in the element pane, and increase the font size. Aim for at least 9 pt for body text in the legend.</w:t>
      </w:r>
    </w:p>
    <w:p>
      <w:pPr>
        <w:pStyle w:val="Heading3"/>
      </w:pPr>
      <w:bookmarkStart w:id="38" w:name="export-map-1-to-pdf"/>
      <w:r>
        <w:t xml:space="preserve">3.3 Export Map 1 to PDF</w:t>
      </w:r>
      <w:bookmarkEnd w:id="38"/>
    </w:p>
    <w:p>
      <w:pPr>
        <w:numPr>
          <w:ilvl w:val="0"/>
          <w:numId w:val="1016"/>
        </w:numPr>
        <w:pStyle w:val="Compact"/>
      </w:pPr>
      <w:r>
        <w:t xml:space="preserve">On the</w:t>
      </w:r>
      <w:r>
        <w:t xml:space="preserve"> </w:t>
      </w:r>
      <w:r>
        <w:rPr>
          <w:b/>
        </w:rPr>
        <w:t xml:space="preserve">Share</w:t>
      </w:r>
      <w:r>
        <w:t xml:space="preserve"> </w:t>
      </w:r>
      <w:r>
        <w:t xml:space="preserve">tab, click</w:t>
      </w:r>
      <w:r>
        <w:t xml:space="preserve"> </w:t>
      </w:r>
      <w:r>
        <w:rPr>
          <w:b/>
        </w:rPr>
        <w:t xml:space="preserve">Export Layout</w:t>
      </w:r>
      <w:r>
        <w:t xml:space="preserve">.</w:t>
      </w:r>
    </w:p>
    <w:p>
      <w:pPr>
        <w:numPr>
          <w:ilvl w:val="0"/>
          <w:numId w:val="1016"/>
        </w:numPr>
        <w:pStyle w:val="Compact"/>
      </w:pPr>
      <w:r>
        <w:t xml:space="preserve">In the export dialog, set: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Value</w:t>
            </w:r>
          </w:p>
        </w:tc>
      </w:tr>
      <w:tr>
        <w:tc>
          <w:p>
            <w:pPr>
              <w:pStyle w:val="Compact"/>
              <w:jc w:val="left"/>
            </w:pPr>
            <w:r>
              <w:t xml:space="preserve">File type</w:t>
            </w:r>
          </w:p>
        </w:tc>
        <w:tc>
          <w:p>
            <w:pPr>
              <w:pStyle w:val="Compact"/>
              <w:jc w:val="left"/>
            </w:pPr>
            <w:r>
              <w:t xml:space="preserve">PDF</w:t>
            </w:r>
          </w:p>
        </w:tc>
      </w:tr>
      <w:tr>
        <w:tc>
          <w:p>
            <w:pPr>
              <w:pStyle w:val="Compact"/>
              <w:jc w:val="left"/>
            </w:pPr>
            <w:r>
              <w:t xml:space="preserve">File name</w:t>
            </w:r>
          </w:p>
        </w:tc>
        <w:tc>
          <w:p>
            <w:pPr>
              <w:pStyle w:val="Compact"/>
              <w:jc w:val="left"/>
            </w:pPr>
            <w:r>
              <w:rPr>
                <w:rStyle w:val="VerbatimChar"/>
              </w:rPr>
              <w:t xml:space="preserve">Map1_GSI_FloodZones.pdf</w:t>
            </w:r>
          </w:p>
        </w:tc>
      </w:tr>
      <w:tr>
        <w:tc>
          <w:p>
            <w:pPr>
              <w:pStyle w:val="Compact"/>
              <w:jc w:val="left"/>
            </w:pPr>
            <w:r>
              <w:t xml:space="preserve">Location</w:t>
            </w:r>
          </w:p>
        </w:tc>
        <w:tc>
          <w:p>
            <w:pPr>
              <w:pStyle w:val="Compact"/>
              <w:jc w:val="left"/>
            </w:pPr>
            <w:r>
              <w:rPr>
                <w:rStyle w:val="VerbatimChar"/>
              </w:rPr>
              <w:t xml:space="preserve">W:\Lab01\</w:t>
            </w:r>
          </w:p>
        </w:tc>
      </w:tr>
      <w:tr>
        <w:tc>
          <w:p>
            <w:pPr>
              <w:pStyle w:val="Compact"/>
              <w:jc w:val="left"/>
            </w:pPr>
            <w:r>
              <w:t xml:space="preserve">Resolution</w:t>
            </w:r>
          </w:p>
        </w:tc>
        <w:tc>
          <w:p>
            <w:pPr>
              <w:pStyle w:val="Compact"/>
              <w:jc w:val="left"/>
            </w:pPr>
            <w:r>
              <w:t xml:space="preserve">150 dpi (minimum for submission)</w:t>
            </w:r>
          </w:p>
        </w:tc>
      </w:tr>
    </w:tbl>
    <w:p>
      <w:pPr>
        <w:numPr>
          <w:ilvl w:val="0"/>
          <w:numId w:val="1017"/>
        </w:numPr>
        <w:pStyle w:val="Compact"/>
      </w:pPr>
      <w:r>
        <w:t xml:space="preserve">Click</w:t>
      </w:r>
      <w:r>
        <w:t xml:space="preserve"> </w:t>
      </w:r>
      <w:r>
        <w:rPr>
          <w:b/>
        </w:rPr>
        <w:t xml:space="preserve">Export</w:t>
      </w:r>
      <w:r>
        <w:t xml:space="preserve">. When complete, a link to the file appears in the status bar.</w:t>
      </w:r>
    </w:p>
    <w:p>
      <w:pPr>
        <w:pStyle w:val="BlockText"/>
      </w:pPr>
      <w:r>
        <w:rPr>
          <w:b/>
        </w:rPr>
        <w:t xml:space="preserve">Note:</w:t>
      </w:r>
      <w:r>
        <w:t xml:space="preserve"> </w:t>
      </w:r>
      <w:r>
        <w:t xml:space="preserve">Save your project frequently: click the</w:t>
      </w:r>
      <w:r>
        <w:t xml:space="preserve"> </w:t>
      </w:r>
      <w:r>
        <w:rPr>
          <w:b/>
        </w:rPr>
        <w:t xml:space="preserve">Project</w:t>
      </w:r>
      <w:r>
        <w:t xml:space="preserve"> </w:t>
      </w:r>
      <w:r>
        <w:t xml:space="preserve">tab (upper-left, blue) →</w:t>
      </w:r>
      <w:r>
        <w:t xml:space="preserve"> </w:t>
      </w:r>
      <w:r>
        <w:rPr>
          <w:b/>
        </w:rPr>
        <w:t xml:space="preserve">Save</w:t>
      </w:r>
      <w:r>
        <w:t xml:space="preserve">. Any unsaved work is lost if ArcGIS Pro crashes.</w:t>
      </w:r>
    </w:p>
    <w:p>
      <w:r>
        <w:pict>
          <v:rect style="width:0;height:1.5pt" o:hralign="center" o:hrstd="t" o:hr="t"/>
        </w:pict>
      </w:r>
    </w:p>
    <w:p>
      <w:pPr>
        <w:pStyle w:val="Heading2"/>
      </w:pPr>
      <w:bookmarkStart w:id="39" w:name="X0d331781ff99ce83483c7e2901f6c841bac7f60"/>
      <w:r>
        <w:t xml:space="preserve">Part 4: Symbology for Map 2 — heat vulnerability choropleth</w:t>
      </w:r>
      <w:bookmarkEnd w:id="39"/>
    </w:p>
    <w:p>
      <w:pPr>
        <w:pStyle w:val="Heading3"/>
      </w:pPr>
      <w:bookmarkStart w:id="40" w:name="add-the-heat-vulnerability-layer"/>
      <w:r>
        <w:t xml:space="preserve">4.1 Add the heat vulnerability layer</w:t>
      </w:r>
      <w:bookmarkEnd w:id="40"/>
    </w:p>
    <w:p>
      <w:pPr>
        <w:numPr>
          <w:ilvl w:val="0"/>
          <w:numId w:val="1018"/>
        </w:numPr>
        <w:pStyle w:val="Compact"/>
      </w:pPr>
      <w:r>
        <w:t xml:space="preserve">In the</w:t>
      </w:r>
      <w:r>
        <w:t xml:space="preserve"> </w:t>
      </w:r>
      <w:r>
        <w:rPr>
          <w:b/>
        </w:rPr>
        <w:t xml:space="preserve">Contents</w:t>
      </w:r>
      <w:r>
        <w:t xml:space="preserve"> </w:t>
      </w:r>
      <w:r>
        <w:t xml:space="preserve">pane, confirm you are in the</w:t>
      </w:r>
      <w:r>
        <w:t xml:space="preserve"> </w:t>
      </w:r>
      <w:r>
        <w:rPr>
          <w:b/>
        </w:rPr>
        <w:t xml:space="preserve">Map</w:t>
      </w:r>
      <w:r>
        <w:t xml:space="preserve"> </w:t>
      </w:r>
      <w:r>
        <w:t xml:space="preserve">view (click the Map tab at the top of the central window). On the</w:t>
      </w:r>
      <w:r>
        <w:t xml:space="preserve"> </w:t>
      </w:r>
      <w:r>
        <w:rPr>
          <w:b/>
        </w:rPr>
        <w:t xml:space="preserve">Map</w:t>
      </w:r>
      <w:r>
        <w:t xml:space="preserve"> </w:t>
      </w:r>
      <w:r>
        <w:t xml:space="preserve">tab, click</w:t>
      </w:r>
      <w:r>
        <w:t xml:space="preserve"> </w:t>
      </w:r>
      <w:r>
        <w:rPr>
          <w:b/>
        </w:rPr>
        <w:t xml:space="preserve">Add Data</w:t>
      </w:r>
      <w:r>
        <w:t xml:space="preserve"> </w:t>
      </w:r>
      <w:r>
        <w:t xml:space="preserve">and add</w:t>
      </w:r>
      <w:r>
        <w:t xml:space="preserve"> </w:t>
      </w:r>
      <w:r>
        <w:rPr>
          <w:rStyle w:val="VerbatimChar"/>
        </w:rPr>
        <w:t xml:space="preserve">heat_vulnerability_ct.shp</w:t>
      </w:r>
      <w:r>
        <w:t xml:space="preserve"> </w:t>
      </w:r>
      <w:r>
        <w:t xml:space="preserve">from</w:t>
      </w:r>
      <w:r>
        <w:t xml:space="preserve"> </w:t>
      </w:r>
      <w:r>
        <w:rPr>
          <w:rStyle w:val="VerbatimChar"/>
        </w:rPr>
        <w:t xml:space="preserve">W:\Lab01\data\</w:t>
      </w:r>
      <w:r>
        <w:t xml:space="preserve">.</w:t>
      </w:r>
    </w:p>
    <w:p>
      <w:pPr>
        <w:numPr>
          <w:ilvl w:val="0"/>
          <w:numId w:val="1018"/>
        </w:numPr>
        <w:pStyle w:val="Compact"/>
      </w:pPr>
      <w:r>
        <w:t xml:space="preserve">Drag</w:t>
      </w:r>
      <w:r>
        <w:t xml:space="preserve"> </w:t>
      </w:r>
      <w:r>
        <w:rPr>
          <w:rStyle w:val="VerbatimChar"/>
        </w:rPr>
        <w:t xml:space="preserve">heat_vulnerability_ct</w:t>
      </w:r>
      <w:r>
        <w:t xml:space="preserve"> </w:t>
      </w:r>
      <w:r>
        <w:t xml:space="preserve">to the top of the layer order in the</w:t>
      </w:r>
      <w:r>
        <w:t xml:space="preserve"> </w:t>
      </w:r>
      <w:r>
        <w:rPr>
          <w:b/>
        </w:rPr>
        <w:t xml:space="preserve">Contents</w:t>
      </w:r>
      <w:r>
        <w:t xml:space="preserve"> </w:t>
      </w:r>
      <w:r>
        <w:t xml:space="preserve">pane.</w:t>
      </w:r>
    </w:p>
    <w:p>
      <w:pPr>
        <w:pStyle w:val="BlockText"/>
      </w:pPr>
      <w:r>
        <w:rPr>
          <w:b/>
        </w:rPr>
        <w:t xml:space="preserve">Public health note:</w:t>
      </w:r>
      <w:r>
        <w:t xml:space="preserve"> </w:t>
      </w:r>
      <w:r>
        <w:t xml:space="preserve">The heat vulnerability index (</w:t>
      </w:r>
      <w:r>
        <w:rPr>
          <w:rStyle w:val="VerbatimChar"/>
        </w:rPr>
        <w:t xml:space="preserve">HVI</w:t>
      </w:r>
      <w:r>
        <w:t xml:space="preserve">) combines factors such as land surface temperature, impervious surface cover, tree canopy, poverty, and age to identify tracts where residents face compounded risk during heat events. No single index captures all dimensions of vulnerability; each is a model with assumptions and limitations.</w:t>
      </w:r>
    </w:p>
    <w:p>
      <w:pPr>
        <w:pStyle w:val="Heading3"/>
      </w:pPr>
      <w:bookmarkStart w:id="41" w:name="apply-graduated-colors-quantile"/>
      <w:r>
        <w:t xml:space="preserve">4.2 Apply graduated colors (Quantile)</w:t>
      </w:r>
      <w:bookmarkEnd w:id="41"/>
    </w:p>
    <w:p>
      <w:pPr>
        <w:numPr>
          <w:ilvl w:val="0"/>
          <w:numId w:val="1019"/>
        </w:numPr>
        <w:pStyle w:val="Compact"/>
      </w:pPr>
      <w:r>
        <w:t xml:space="preserve">In the</w:t>
      </w:r>
      <w:r>
        <w:t xml:space="preserve"> </w:t>
      </w:r>
      <w:r>
        <w:rPr>
          <w:b/>
        </w:rPr>
        <w:t xml:space="preserve">Contents</w:t>
      </w:r>
      <w:r>
        <w:t xml:space="preserve"> </w:t>
      </w:r>
      <w:r>
        <w:t xml:space="preserve">pane, click</w:t>
      </w:r>
      <w:r>
        <w:t xml:space="preserve"> </w:t>
      </w:r>
      <w:r>
        <w:rPr>
          <w:rStyle w:val="VerbatimChar"/>
        </w:rPr>
        <w:t xml:space="preserve">heat_vulnerability_ct</w:t>
      </w:r>
      <w:r>
        <w:t xml:space="preserve">. Open</w:t>
      </w:r>
      <w:r>
        <w:t xml:space="preserve"> </w:t>
      </w:r>
      <w:r>
        <w:rPr>
          <w:b/>
        </w:rPr>
        <w:t xml:space="preserve">Symbology</w:t>
      </w:r>
      <w:r>
        <w:t xml:space="preserve">.</w:t>
      </w:r>
    </w:p>
    <w:p>
      <w:pPr>
        <w:numPr>
          <w:ilvl w:val="0"/>
          <w:numId w:val="1019"/>
        </w:numPr>
        <w:pStyle w:val="Compact"/>
      </w:pPr>
      <w:r>
        <w:t xml:space="preserve">Change the method to</w:t>
      </w:r>
      <w:r>
        <w:t xml:space="preserve"> </w:t>
      </w:r>
      <w:r>
        <w:rPr>
          <w:b/>
        </w:rPr>
        <w:t xml:space="preserve">Graduated Colors</w:t>
      </w:r>
      <w:r>
        <w:t xml:space="preserve">.</w:t>
      </w:r>
    </w:p>
    <w:p>
      <w:pPr>
        <w:numPr>
          <w:ilvl w:val="0"/>
          <w:numId w:val="1019"/>
        </w:numPr>
        <w:pStyle w:val="Compact"/>
      </w:pPr>
      <w:r>
        <w:t xml:space="preserve">Set: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Field</w:t>
            </w:r>
          </w:p>
        </w:tc>
        <w:tc>
          <w:p>
            <w:pPr>
              <w:pStyle w:val="Compact"/>
              <w:jc w:val="left"/>
            </w:pPr>
            <w:r>
              <w:rPr>
                <w:rStyle w:val="VerbatimChar"/>
              </w:rPr>
              <w:t xml:space="preserve">HVI</w:t>
            </w:r>
          </w:p>
        </w:tc>
      </w:tr>
      <w:tr>
        <w:tc>
          <w:p>
            <w:pPr>
              <w:pStyle w:val="Compact"/>
              <w:jc w:val="left"/>
            </w:pPr>
            <w:r>
              <w:t xml:space="preserve">Method</w:t>
            </w:r>
          </w:p>
        </w:tc>
        <w:tc>
          <w:p>
            <w:pPr>
              <w:pStyle w:val="Compact"/>
              <w:jc w:val="left"/>
            </w:pPr>
            <w:r>
              <w:t xml:space="preserve">Quantile</w:t>
            </w:r>
          </w:p>
        </w:tc>
      </w:tr>
      <w:tr>
        <w:tc>
          <w:p>
            <w:pPr>
              <w:pStyle w:val="Compact"/>
              <w:jc w:val="left"/>
            </w:pPr>
            <w:r>
              <w:t xml:space="preserve">Classes</w:t>
            </w:r>
          </w:p>
        </w:tc>
        <w:tc>
          <w:p>
            <w:pPr>
              <w:pStyle w:val="Compact"/>
              <w:jc w:val="left"/>
            </w:pPr>
            <w:r>
              <w:t xml:space="preserve">5</w:t>
            </w:r>
          </w:p>
        </w:tc>
      </w:tr>
      <w:tr>
        <w:tc>
          <w:p>
            <w:pPr>
              <w:pStyle w:val="Compact"/>
              <w:jc w:val="left"/>
            </w:pPr>
            <w:r>
              <w:t xml:space="preserve">Color scheme</w:t>
            </w:r>
          </w:p>
        </w:tc>
        <w:tc>
          <w:p>
            <w:pPr>
              <w:pStyle w:val="Compact"/>
              <w:jc w:val="left"/>
            </w:pPr>
            <w:r>
              <w:t xml:space="preserve">A sequential yellow-to-red (light = low vulnerability, dark red = high)</w:t>
            </w:r>
          </w:p>
        </w:tc>
      </w:tr>
    </w:tbl>
    <w:p>
      <w:pPr>
        <w:numPr>
          <w:ilvl w:val="0"/>
          <w:numId w:val="1020"/>
        </w:numPr>
        <w:pStyle w:val="Compact"/>
      </w:pPr>
      <w:r>
        <w:t xml:space="preserve">Click</w:t>
      </w:r>
      <w:r>
        <w:t xml:space="preserve"> </w:t>
      </w:r>
      <w:r>
        <w:rPr>
          <w:b/>
        </w:rPr>
        <w:t xml:space="preserve">Apply</w:t>
      </w:r>
      <w:r>
        <w:t xml:space="preserve">.</w:t>
      </w:r>
    </w:p>
    <w:p>
      <w:pPr>
        <w:pStyle w:val="Heading3"/>
      </w:pPr>
      <w:bookmarkStart w:id="42" w:name="compare-classification-schemes"/>
      <w:r>
        <w:t xml:space="preserve">4.3 Compare classification schemes</w:t>
      </w:r>
      <w:bookmarkEnd w:id="42"/>
    </w:p>
    <w:p>
      <w:pPr>
        <w:numPr>
          <w:ilvl w:val="0"/>
          <w:numId w:val="1021"/>
        </w:numPr>
        <w:pStyle w:val="Compact"/>
      </w:pPr>
      <w:r>
        <w:t xml:space="preserve">Change</w:t>
      </w:r>
      <w:r>
        <w:t xml:space="preserve"> </w:t>
      </w:r>
      <w:r>
        <w:rPr>
          <w:b/>
        </w:rPr>
        <w:t xml:space="preserve">Method</w:t>
      </w:r>
      <w:r>
        <w:t xml:space="preserve"> </w:t>
      </w:r>
      <w:r>
        <w:t xml:space="preserve">to</w:t>
      </w:r>
      <w:r>
        <w:t xml:space="preserve"> </w:t>
      </w:r>
      <w:r>
        <w:rPr>
          <w:b/>
        </w:rPr>
        <w:t xml:space="preserve">Equal Interval</w:t>
      </w:r>
      <w:r>
        <w:t xml:space="preserve">, keeping 5 classes. Note how the map changes — how many tracts fall in each class? Switch back to</w:t>
      </w:r>
      <w:r>
        <w:t xml:space="preserve"> </w:t>
      </w:r>
      <w:r>
        <w:rPr>
          <w:b/>
        </w:rPr>
        <w:t xml:space="preserve">Quantile</w:t>
      </w:r>
      <w:r>
        <w:t xml:space="preserve"> </w:t>
      </w:r>
      <w:r>
        <w:t xml:space="preserve">when done.</w:t>
      </w:r>
    </w:p>
    <w:p>
      <w:pPr>
        <w:pStyle w:val="BlockText"/>
      </w:pPr>
      <w:r>
        <w:rPr>
          <w:b/>
        </w:rPr>
        <w:t xml:space="preserve">Public health note:</w:t>
      </w:r>
      <w:r>
        <w:t xml:space="preserve"> </w:t>
      </w:r>
      <w:r>
        <w:t xml:space="preserve">Equal interval divides the data range into equal-width bins; Quantile places an equal number of tracts in each class. For skewed health indices, Quantile often produces a more readable map but can obscure the absolute magnitude of differences. Natural Breaks (Jenks) is another common option that minimizes within-class variance. Your choice of classification scheme is an analytic decision that affects what the map communicates.</w:t>
      </w:r>
    </w:p>
    <w:p>
      <w:pPr>
        <w:pStyle w:val="FirstParagraph"/>
      </w:pPr>
      <w:r>
        <w:rPr>
          <w:i/>
        </w:rPr>
        <w:t xml:space="preserve">[Figure: Side-by-side screenshots of the choropleth using Equal Interval (left) and Quantile (right) classification, same 5-class yellow-to-red scheme]</w:t>
      </w:r>
    </w:p>
    <w:p>
      <w:pPr>
        <w:pStyle w:val="Heading3"/>
      </w:pPr>
      <w:bookmarkStart w:id="43" w:name="X0d4253581c10b61d16f799211712a4115b7c5c1"/>
      <w:r>
        <w:t xml:space="preserve">4.4 Create an inset map showing a high-vulnerability cluster</w:t>
      </w:r>
      <w:bookmarkEnd w:id="43"/>
    </w:p>
    <w:p>
      <w:pPr>
        <w:numPr>
          <w:ilvl w:val="0"/>
          <w:numId w:val="1022"/>
        </w:numPr>
        <w:pStyle w:val="Compact"/>
      </w:pPr>
      <w:r>
        <w:t xml:space="preserve">On the</w:t>
      </w:r>
      <w:r>
        <w:t xml:space="preserve"> </w:t>
      </w:r>
      <w:r>
        <w:rPr>
          <w:b/>
        </w:rPr>
        <w:t xml:space="preserve">Insert</w:t>
      </w:r>
      <w:r>
        <w:t xml:space="preserve"> </w:t>
      </w:r>
      <w:r>
        <w:t xml:space="preserve">tab, click</w:t>
      </w:r>
      <w:r>
        <w:t xml:space="preserve"> </w:t>
      </w:r>
      <w:r>
        <w:rPr>
          <w:b/>
        </w:rPr>
        <w:t xml:space="preserve">New Map</w:t>
      </w:r>
      <w:r>
        <w:t xml:space="preserve">. A second map (</w:t>
      </w:r>
      <w:r>
        <w:rPr>
          <w:rStyle w:val="VerbatimChar"/>
        </w:rPr>
        <w:t xml:space="preserve">Map</w:t>
      </w:r>
      <w:r>
        <w:t xml:space="preserve">) appears in the project.</w:t>
      </w:r>
    </w:p>
    <w:p>
      <w:pPr>
        <w:numPr>
          <w:ilvl w:val="0"/>
          <w:numId w:val="1022"/>
        </w:numPr>
        <w:pStyle w:val="Compact"/>
      </w:pPr>
      <w:r>
        <w:t xml:space="preserve">On this new map, add</w:t>
      </w:r>
      <w:r>
        <w:t xml:space="preserve"> </w:t>
      </w:r>
      <w:r>
        <w:rPr>
          <w:rStyle w:val="VerbatimChar"/>
        </w:rPr>
        <w:t xml:space="preserve">heat_vulnerability_ct.shp</w:t>
      </w:r>
      <w:r>
        <w:t xml:space="preserve"> </w:t>
      </w:r>
      <w:r>
        <w:t xml:space="preserve">and apply the same</w:t>
      </w:r>
      <w:r>
        <w:t xml:space="preserve"> </w:t>
      </w:r>
      <w:r>
        <w:rPr>
          <w:b/>
        </w:rPr>
        <w:t xml:space="preserve">Graduated Colors / Quantile</w:t>
      </w:r>
      <w:r>
        <w:t xml:space="preserve"> </w:t>
      </w:r>
      <w:r>
        <w:t xml:space="preserve">symbology used in step 4.2–4.4 above.</w:t>
      </w:r>
    </w:p>
    <w:p>
      <w:pPr>
        <w:numPr>
          <w:ilvl w:val="0"/>
          <w:numId w:val="1022"/>
        </w:numPr>
        <w:pStyle w:val="Compact"/>
      </w:pPr>
      <w:r>
        <w:t xml:space="preserve">In the new map, zoom to a cluster of high-vulnerability (darkest red) tracts — for example, neighborhoods in North or West Philadelphia. Use</w:t>
      </w:r>
      <w:r>
        <w:t xml:space="preserve"> </w:t>
      </w:r>
      <w:r>
        <w:rPr>
          <w:b/>
        </w:rPr>
        <w:t xml:space="preserve">Bookmarks → New Bookmark</w:t>
      </w:r>
      <w:r>
        <w:t xml:space="preserve"> </w:t>
      </w:r>
      <w:r>
        <w:t xml:space="preserve">to save this view as</w:t>
      </w:r>
      <w:r>
        <w:t xml:space="preserve"> </w:t>
      </w:r>
      <w:r>
        <w:rPr>
          <w:rStyle w:val="VerbatimChar"/>
        </w:rPr>
        <w:t xml:space="preserve">Inset – high vulnerability</w:t>
      </w:r>
      <w:r>
        <w:t xml:space="preserve">.</w:t>
      </w:r>
    </w:p>
    <w:p>
      <w:pPr>
        <w:numPr>
          <w:ilvl w:val="0"/>
          <w:numId w:val="1022"/>
        </w:numPr>
        <w:pStyle w:val="Compact"/>
      </w:pPr>
      <w:r>
        <w:t xml:space="preserve">Return to the</w:t>
      </w:r>
      <w:r>
        <w:t xml:space="preserve"> </w:t>
      </w:r>
      <w:r>
        <w:rPr>
          <w:b/>
        </w:rPr>
        <w:t xml:space="preserve">Layout</w:t>
      </w:r>
      <w:r>
        <w:t xml:space="preserve"> </w:t>
      </w:r>
      <w:r>
        <w:t xml:space="preserve">by clicking its tab.</w:t>
      </w:r>
    </w:p>
    <w:p>
      <w:pPr>
        <w:numPr>
          <w:ilvl w:val="0"/>
          <w:numId w:val="1022"/>
        </w:numPr>
        <w:pStyle w:val="Compact"/>
      </w:pPr>
      <w:r>
        <w:t xml:space="preserve">On the</w:t>
      </w:r>
      <w:r>
        <w:t xml:space="preserve"> </w:t>
      </w:r>
      <w:r>
        <w:rPr>
          <w:b/>
        </w:rPr>
        <w:t xml:space="preserve">Insert</w:t>
      </w:r>
      <w:r>
        <w:t xml:space="preserve"> </w:t>
      </w:r>
      <w:r>
        <w:t xml:space="preserve">tab, click</w:t>
      </w:r>
      <w:r>
        <w:t xml:space="preserve"> </w:t>
      </w:r>
      <w:r>
        <w:rPr>
          <w:b/>
        </w:rPr>
        <w:t xml:space="preserve">Map Frame</w:t>
      </w:r>
      <w:r>
        <w:t xml:space="preserve"> </w:t>
      </w:r>
      <w:r>
        <w:t xml:space="preserve">→ select the new inset map. Click and drag a small frame in the corner of the layout (approximately 2 × 2 in).</w:t>
      </w:r>
    </w:p>
    <w:p>
      <w:pPr>
        <w:numPr>
          <w:ilvl w:val="0"/>
          <w:numId w:val="1022"/>
        </w:numPr>
        <w:pStyle w:val="Compact"/>
      </w:pPr>
      <w:r>
        <w:t xml:space="preserve">In the</w:t>
      </w:r>
      <w:r>
        <w:t xml:space="preserve"> </w:t>
      </w:r>
      <w:r>
        <w:rPr>
          <w:b/>
        </w:rPr>
        <w:t xml:space="preserve">Contents</w:t>
      </w:r>
      <w:r>
        <w:t xml:space="preserve"> </w:t>
      </w:r>
      <w:r>
        <w:t xml:space="preserve">pane for the layout, double-click the inset map frame to rename it</w:t>
      </w:r>
      <w:r>
        <w:t xml:space="preserve"> </w:t>
      </w:r>
      <w:r>
        <w:rPr>
          <w:rStyle w:val="VerbatimChar"/>
        </w:rPr>
        <w:t xml:space="preserve">Inset Map</w:t>
      </w:r>
      <w:r>
        <w:t xml:space="preserve">.</w:t>
      </w:r>
    </w:p>
    <w:p>
      <w:pPr>
        <w:numPr>
          <w:ilvl w:val="0"/>
          <w:numId w:val="1022"/>
        </w:numPr>
        <w:pStyle w:val="Compact"/>
      </w:pPr>
      <w:r>
        <w:t xml:space="preserve">To draw a locator rectangle: on the</w:t>
      </w:r>
      <w:r>
        <w:t xml:space="preserve"> </w:t>
      </w:r>
      <w:r>
        <w:rPr>
          <w:b/>
        </w:rPr>
        <w:t xml:space="preserve">Insert</w:t>
      </w:r>
      <w:r>
        <w:t xml:space="preserve"> </w:t>
      </w:r>
      <w:r>
        <w:t xml:space="preserve">tab, click the</w:t>
      </w:r>
      <w:r>
        <w:t xml:space="preserve"> </w:t>
      </w:r>
      <w:r>
        <w:rPr>
          <w:b/>
        </w:rPr>
        <w:t xml:space="preserve">Rectangle</w:t>
      </w:r>
      <w:r>
        <w:t xml:space="preserve"> </w:t>
      </w:r>
      <w:r>
        <w:t xml:space="preserve">graphic tool. Draw a small rectangle on the main map frame that corresponds to the area shown in the inset. In the</w:t>
      </w:r>
      <w:r>
        <w:t xml:space="preserve"> </w:t>
      </w:r>
      <w:r>
        <w:rPr>
          <w:b/>
        </w:rPr>
        <w:t xml:space="preserve">Format</w:t>
      </w:r>
      <w:r>
        <w:t xml:space="preserve"> </w:t>
      </w:r>
      <w:r>
        <w:t xml:space="preserve">tab for the rectangle, set fill to</w:t>
      </w:r>
      <w:r>
        <w:t xml:space="preserve"> </w:t>
      </w:r>
      <w:r>
        <w:rPr>
          <w:b/>
        </w:rPr>
        <w:t xml:space="preserve">No Color</w:t>
      </w:r>
      <w:r>
        <w:t xml:space="preserve"> </w:t>
      </w:r>
      <w:r>
        <w:t xml:space="preserve">and outline to a bold contrasting color (e.g., red, 1.5 pt). Draw a line with an arrowhead from the rectangle to the inset frame (use the</w:t>
      </w:r>
      <w:r>
        <w:t xml:space="preserve"> </w:t>
      </w:r>
      <w:r>
        <w:rPr>
          <w:b/>
        </w:rPr>
        <w:t xml:space="preserve">Line</w:t>
      </w:r>
      <w:r>
        <w:t xml:space="preserve"> </w:t>
      </w:r>
      <w:r>
        <w:t xml:space="preserve">graphic tool under</w:t>
      </w:r>
      <w:r>
        <w:t xml:space="preserve"> </w:t>
      </w:r>
      <w:r>
        <w:rPr>
          <w:b/>
        </w:rPr>
        <w:t xml:space="preserve">Insert</w:t>
      </w:r>
      <w:r>
        <w:t xml:space="preserve">, then add an arrowhead via the</w:t>
      </w:r>
      <w:r>
        <w:t xml:space="preserve"> </w:t>
      </w:r>
      <w:r>
        <w:rPr>
          <w:b/>
        </w:rPr>
        <w:t xml:space="preserve">Format</w:t>
      </w:r>
      <w:r>
        <w:t xml:space="preserve"> </w:t>
      </w:r>
      <w:r>
        <w:t xml:space="preserve">tab →</w:t>
      </w:r>
      <w:r>
        <w:t xml:space="preserve"> </w:t>
      </w:r>
      <w:r>
        <w:rPr>
          <w:b/>
        </w:rPr>
        <w:t xml:space="preserve">Arrow End</w:t>
      </w:r>
      <w:r>
        <w:t xml:space="preserve">).</w:t>
      </w:r>
    </w:p>
    <w:p>
      <w:pPr>
        <w:pStyle w:val="FirstParagraph"/>
      </w:pPr>
      <w:r>
        <w:rPr>
          <w:i/>
        </w:rPr>
        <w:t xml:space="preserve">[Figure: Layout showing the main choropleth map with a locator rectangle and lines pointing to the inset map frame in the corner]</w:t>
      </w:r>
    </w:p>
    <w:p>
      <w:pPr>
        <w:numPr>
          <w:ilvl w:val="0"/>
          <w:numId w:val="1023"/>
        </w:numPr>
        <w:pStyle w:val="Compact"/>
      </w:pPr>
      <w:r>
        <w:t xml:space="preserve">Update the layout title to:</w:t>
      </w:r>
      <w:r>
        <w:t xml:space="preserve"> </w:t>
      </w:r>
      <w:r>
        <w:rPr>
          <w:rStyle w:val="VerbatimChar"/>
        </w:rPr>
        <w:t xml:space="preserve">Heat Vulnerability Index by Census Tract, Philadelphia</w:t>
      </w:r>
      <w:r>
        <w:t xml:space="preserve">.</w:t>
      </w:r>
    </w:p>
    <w:p>
      <w:pPr>
        <w:numPr>
          <w:ilvl w:val="0"/>
          <w:numId w:val="1023"/>
        </w:numPr>
        <w:pStyle w:val="Compact"/>
      </w:pPr>
      <w:r>
        <w:t xml:space="preserve">Export to PDF as</w:t>
      </w:r>
      <w:r>
        <w:t xml:space="preserve"> </w:t>
      </w:r>
      <w:r>
        <w:rPr>
          <w:rStyle w:val="VerbatimChar"/>
        </w:rPr>
        <w:t xml:space="preserve">Map2_HeatVulnerability.pdf</w:t>
      </w:r>
      <w:r>
        <w:t xml:space="preserve"> </w:t>
      </w:r>
      <w:r>
        <w:t xml:space="preserve">following the same steps as Section 3.3.</w:t>
      </w:r>
    </w:p>
    <w:p>
      <w:r>
        <w:pict>
          <v:rect style="width:0;height:1.5pt" o:hralign="center" o:hrstd="t" o:hr="t"/>
        </w:pict>
      </w:r>
    </w:p>
    <w:p>
      <w:pPr>
        <w:pStyle w:val="Heading2"/>
      </w:pPr>
      <w:bookmarkStart w:id="44" w:name="part-5-using-the-measure-tool"/>
      <w:r>
        <w:t xml:space="preserve">Part 5: Using the Measure tool</w:t>
      </w:r>
      <w:bookmarkEnd w:id="44"/>
    </w:p>
    <w:p>
      <w:pPr>
        <w:numPr>
          <w:ilvl w:val="0"/>
          <w:numId w:val="1024"/>
        </w:numPr>
        <w:pStyle w:val="Compact"/>
      </w:pPr>
      <w:r>
        <w:t xml:space="preserve">In the</w:t>
      </w:r>
      <w:r>
        <w:t xml:space="preserve"> </w:t>
      </w:r>
      <w:r>
        <w:rPr>
          <w:b/>
        </w:rPr>
        <w:t xml:space="preserve">Map</w:t>
      </w:r>
      <w:r>
        <w:t xml:space="preserve"> </w:t>
      </w:r>
      <w:r>
        <w:t xml:space="preserve">view (not the Layout), navigate to a cluster of high-vulnerability tracts in the inset bookmark.</w:t>
      </w:r>
    </w:p>
    <w:p>
      <w:pPr>
        <w:numPr>
          <w:ilvl w:val="0"/>
          <w:numId w:val="1024"/>
        </w:numPr>
        <w:pStyle w:val="Compact"/>
      </w:pPr>
      <w:r>
        <w:t xml:space="preserve">On the</w:t>
      </w:r>
      <w:r>
        <w:t xml:space="preserve"> </w:t>
      </w:r>
      <w:r>
        <w:rPr>
          <w:b/>
        </w:rPr>
        <w:t xml:space="preserve">Map</w:t>
      </w:r>
      <w:r>
        <w:t xml:space="preserve"> </w:t>
      </w:r>
      <w:r>
        <w:t xml:space="preserve">tab, in the</w:t>
      </w:r>
      <w:r>
        <w:t xml:space="preserve"> </w:t>
      </w:r>
      <w:r>
        <w:rPr>
          <w:b/>
        </w:rPr>
        <w:t xml:space="preserve">Inquiry</w:t>
      </w:r>
      <w:r>
        <w:t xml:space="preserve"> </w:t>
      </w:r>
      <w:r>
        <w:t xml:space="preserve">group, click the</w:t>
      </w:r>
      <w:r>
        <w:t xml:space="preserve"> </w:t>
      </w:r>
      <w:r>
        <w:rPr>
          <w:b/>
        </w:rPr>
        <w:t xml:space="preserve">Measure</w:t>
      </w:r>
      <w:r>
        <w:t xml:space="preserve"> </w:t>
      </w:r>
      <w:r>
        <w:t xml:space="preserve">dropdown and select</w:t>
      </w:r>
      <w:r>
        <w:t xml:space="preserve"> </w:t>
      </w:r>
      <w:r>
        <w:rPr>
          <w:b/>
        </w:rPr>
        <w:t xml:space="preserve">Measure Distance</w:t>
      </w:r>
      <w:r>
        <w:t xml:space="preserve">.</w:t>
      </w:r>
    </w:p>
    <w:p>
      <w:pPr>
        <w:numPr>
          <w:ilvl w:val="0"/>
          <w:numId w:val="1024"/>
        </w:numPr>
        <w:pStyle w:val="Compact"/>
      </w:pPr>
      <w:r>
        <w:t xml:space="preserve">The cursor changes to a crosshair. Click on the centroid of one high-vulnerability tract, move to a nearby public facility or road intersection, and click again. Double-click to end the measurement.</w:t>
      </w:r>
    </w:p>
    <w:p>
      <w:pPr>
        <w:numPr>
          <w:ilvl w:val="0"/>
          <w:numId w:val="1024"/>
        </w:numPr>
        <w:pStyle w:val="Compact"/>
      </w:pPr>
      <w:r>
        <w:t xml:space="preserve">A panel in the upper-left of the map view shows the cumulative distance. Use the</w:t>
      </w:r>
      <w:r>
        <w:t xml:space="preserve"> </w:t>
      </w:r>
      <w:r>
        <w:rPr>
          <w:b/>
        </w:rPr>
        <w:t xml:space="preserve">Options</w:t>
      </w:r>
      <w:r>
        <w:t xml:space="preserve"> </w:t>
      </w:r>
      <w:r>
        <w:t xml:space="preserve">button in the Measure panel to switch units (e.g., feet to miles).</w:t>
      </w:r>
    </w:p>
    <w:p>
      <w:pPr>
        <w:numPr>
          <w:ilvl w:val="0"/>
          <w:numId w:val="1024"/>
        </w:numPr>
        <w:pStyle w:val="Compact"/>
      </w:pPr>
      <w:r>
        <w:t xml:space="preserve">Record: approximately how far (in miles) is the nearest cluster of dark-red tracts from the nearest green stormwater project visible in Map 1? Write this number down — you will report it in your deliverables.</w:t>
      </w:r>
    </w:p>
    <w:p>
      <w:pPr>
        <w:numPr>
          <w:ilvl w:val="0"/>
          <w:numId w:val="1024"/>
        </w:numPr>
        <w:pStyle w:val="Compact"/>
      </w:pPr>
      <w:r>
        <w:t xml:space="preserve">To close the Measure tool, click the</w:t>
      </w:r>
      <w:r>
        <w:t xml:space="preserve"> </w:t>
      </w:r>
      <w:r>
        <w:rPr>
          <w:b/>
        </w:rPr>
        <w:t xml:space="preserve">Explore</w:t>
      </w:r>
      <w:r>
        <w:t xml:space="preserve"> </w:t>
      </w:r>
      <w:r>
        <w:t xml:space="preserve">tool (hand icon) on the</w:t>
      </w:r>
      <w:r>
        <w:t xml:space="preserve"> </w:t>
      </w:r>
      <w:r>
        <w:rPr>
          <w:b/>
        </w:rPr>
        <w:t xml:space="preserve">Map</w:t>
      </w:r>
      <w:r>
        <w:t xml:space="preserve"> </w:t>
      </w:r>
      <w:r>
        <w:t xml:space="preserve">tab.</w:t>
      </w:r>
    </w:p>
    <w:p>
      <w:pPr>
        <w:pStyle w:val="BlockText"/>
      </w:pPr>
      <w:r>
        <w:rPr>
          <w:b/>
        </w:rPr>
        <w:t xml:space="preserve">Public health note:</w:t>
      </w:r>
      <w:r>
        <w:t xml:space="preserve"> </w:t>
      </w:r>
      <w:r>
        <w:t xml:space="preserve">Straight-line (</w:t>
      </w:r>
      <w:r>
        <w:t xml:space="preserve">“</w:t>
      </w:r>
      <w:r>
        <w:t xml:space="preserve">as the crow flies</w:t>
      </w:r>
      <w:r>
        <w:t xml:space="preserve">”</w:t>
      </w:r>
      <w:r>
        <w:t xml:space="preserve">) distance is not the same as travel distance or service area. In a later lab you will calculate network-based access. For now, the Measure tool gives a rough sense of proximity.</w:t>
      </w:r>
    </w:p>
    <w:p>
      <w:r>
        <w:pict>
          <v:rect style="width:0;height:1.5pt" o:hralign="center" o:hrstd="t" o:hr="t"/>
        </w:pict>
      </w:r>
    </w:p>
    <w:p>
      <w:pPr>
        <w:pStyle w:val="Heading2"/>
      </w:pPr>
      <w:bookmarkStart w:id="45" w:name="Xab81ce32c8c0645455ebf5ca7210b34ff1f6a67"/>
      <w:r>
        <w:t xml:space="preserve">Part 6: Symbology for Map 3 — cooling resources</w:t>
      </w:r>
      <w:bookmarkEnd w:id="45"/>
    </w:p>
    <w:p>
      <w:pPr>
        <w:pStyle w:val="Heading3"/>
      </w:pPr>
      <w:bookmarkStart w:id="46" w:name="add-point-layers"/>
      <w:r>
        <w:t xml:space="preserve">6.1 Add point layers</w:t>
      </w:r>
      <w:bookmarkEnd w:id="46"/>
    </w:p>
    <w:p>
      <w:pPr>
        <w:numPr>
          <w:ilvl w:val="0"/>
          <w:numId w:val="1025"/>
        </w:numPr>
        <w:pStyle w:val="Compact"/>
      </w:pPr>
      <w:r>
        <w:t xml:space="preserve">In the</w:t>
      </w:r>
      <w:r>
        <w:t xml:space="preserve"> </w:t>
      </w:r>
      <w:r>
        <w:rPr>
          <w:b/>
        </w:rPr>
        <w:t xml:space="preserve">Map</w:t>
      </w:r>
      <w:r>
        <w:t xml:space="preserve"> </w:t>
      </w:r>
      <w:r>
        <w:t xml:space="preserve">view, confirm</w:t>
      </w:r>
      <w:r>
        <w:t xml:space="preserve"> </w:t>
      </w:r>
      <w:r>
        <w:rPr>
          <w:rStyle w:val="VerbatimChar"/>
        </w:rPr>
        <w:t xml:space="preserve">heat_vulnerability_ct</w:t>
      </w:r>
      <w:r>
        <w:t xml:space="preserve"> </w:t>
      </w:r>
      <w:r>
        <w:t xml:space="preserve">is already displayed with graduated colors.</w:t>
      </w:r>
    </w:p>
    <w:p>
      <w:pPr>
        <w:numPr>
          <w:ilvl w:val="0"/>
          <w:numId w:val="1025"/>
        </w:numPr>
        <w:pStyle w:val="Compact"/>
      </w:pPr>
      <w:r>
        <w:t xml:space="preserve">On the</w:t>
      </w:r>
      <w:r>
        <w:t xml:space="preserve"> </w:t>
      </w:r>
      <w:r>
        <w:rPr>
          <w:b/>
        </w:rPr>
        <w:t xml:space="preserve">Map</w:t>
      </w:r>
      <w:r>
        <w:t xml:space="preserve"> </w:t>
      </w:r>
      <w:r>
        <w:t xml:space="preserve">tab, click</w:t>
      </w:r>
      <w:r>
        <w:t xml:space="preserve"> </w:t>
      </w:r>
      <w:r>
        <w:rPr>
          <w:b/>
        </w:rPr>
        <w:t xml:space="preserve">Add Data</w:t>
      </w:r>
      <w:r>
        <w:t xml:space="preserve"> </w:t>
      </w:r>
      <w:r>
        <w:t xml:space="preserve">and add both</w:t>
      </w:r>
      <w:r>
        <w:t xml:space="preserve"> </w:t>
      </w:r>
      <w:r>
        <w:rPr>
          <w:rStyle w:val="VerbatimChar"/>
        </w:rPr>
        <w:t xml:space="preserve">PPR_Spraygrounds.shp</w:t>
      </w:r>
      <w:r>
        <w:t xml:space="preserve"> </w:t>
      </w:r>
      <w:r>
        <w:t xml:space="preserve">and</w:t>
      </w:r>
      <w:r>
        <w:t xml:space="preserve"> </w:t>
      </w:r>
      <w:r>
        <w:rPr>
          <w:rStyle w:val="VerbatimChar"/>
        </w:rPr>
        <w:t xml:space="preserve">PPR_Swimming_Pools.shp</w:t>
      </w:r>
      <w:r>
        <w:t xml:space="preserve">.</w:t>
      </w:r>
    </w:p>
    <w:p>
      <w:pPr>
        <w:numPr>
          <w:ilvl w:val="0"/>
          <w:numId w:val="1025"/>
        </w:numPr>
        <w:pStyle w:val="Compact"/>
      </w:pPr>
      <w:r>
        <w:t xml:space="preserve">Drag both point layers to the top of the layer stack in the</w:t>
      </w:r>
      <w:r>
        <w:t xml:space="preserve"> </w:t>
      </w:r>
      <w:r>
        <w:rPr>
          <w:b/>
        </w:rPr>
        <w:t xml:space="preserve">Contents</w:t>
      </w:r>
      <w:r>
        <w:t xml:space="preserve"> </w:t>
      </w:r>
      <w:r>
        <w:t xml:space="preserve">pane.</w:t>
      </w:r>
    </w:p>
    <w:p>
      <w:pPr>
        <w:pStyle w:val="Heading3"/>
      </w:pPr>
      <w:bookmarkStart w:id="47" w:name="X730085cc084668649e7bc7bf304f2bbdbab5d7f"/>
      <w:r>
        <w:t xml:space="preserve">6.2 Apply unique values/categories to the point layers</w:t>
      </w:r>
      <w:bookmarkEnd w:id="47"/>
    </w:p>
    <w:p>
      <w:pPr>
        <w:numPr>
          <w:ilvl w:val="0"/>
          <w:numId w:val="1026"/>
        </w:numPr>
        <w:pStyle w:val="Compact"/>
      </w:pPr>
      <w:r>
        <w:t xml:space="preserve">Click</w:t>
      </w:r>
      <w:r>
        <w:t xml:space="preserve"> </w:t>
      </w:r>
      <w:r>
        <w:rPr>
          <w:rStyle w:val="VerbatimChar"/>
        </w:rPr>
        <w:t xml:space="preserve">PPR_Spraygrounds</w:t>
      </w:r>
      <w:r>
        <w:t xml:space="preserve"> </w:t>
      </w:r>
      <w:r>
        <w:t xml:space="preserve">in the</w:t>
      </w:r>
      <w:r>
        <w:t xml:space="preserve"> </w:t>
      </w:r>
      <w:r>
        <w:rPr>
          <w:b/>
        </w:rPr>
        <w:t xml:space="preserve">Contents</w:t>
      </w:r>
      <w:r>
        <w:t xml:space="preserve"> </w:t>
      </w:r>
      <w:r>
        <w:t xml:space="preserve">pane. Open</w:t>
      </w:r>
      <w:r>
        <w:t xml:space="preserve"> </w:t>
      </w:r>
      <w:r>
        <w:rPr>
          <w:b/>
        </w:rPr>
        <w:t xml:space="preserve">Symbology</w:t>
      </w:r>
      <w:r>
        <w:t xml:space="preserve">. Set method to</w:t>
      </w:r>
      <w:r>
        <w:t xml:space="preserve"> </w:t>
      </w:r>
      <w:r>
        <w:rPr>
          <w:b/>
        </w:rPr>
        <w:t xml:space="preserve">Single Symbol</w:t>
      </w:r>
      <w:r>
        <w:t xml:space="preserve">. Choose a distinct point symbol — a blue circle or a water-related symbol from the</w:t>
      </w:r>
      <w:r>
        <w:t xml:space="preserve"> </w:t>
      </w:r>
      <w:r>
        <w:rPr>
          <w:b/>
        </w:rPr>
        <w:t xml:space="preserve">ArcGIS 2D</w:t>
      </w:r>
      <w:r>
        <w:t xml:space="preserve"> </w:t>
      </w:r>
      <w:r>
        <w:t xml:space="preserve">gallery. Set size to</w:t>
      </w:r>
      <w:r>
        <w:t xml:space="preserve"> </w:t>
      </w:r>
      <w:r>
        <w:rPr>
          <w:rStyle w:val="VerbatimChar"/>
        </w:rPr>
        <w:t xml:space="preserve">8 pt</w:t>
      </w:r>
      <w:r>
        <w:t xml:space="preserve">.</w:t>
      </w:r>
    </w:p>
    <w:p>
      <w:pPr>
        <w:numPr>
          <w:ilvl w:val="0"/>
          <w:numId w:val="1026"/>
        </w:numPr>
        <w:pStyle w:val="Compact"/>
      </w:pPr>
      <w:r>
        <w:t xml:space="preserve">Click</w:t>
      </w:r>
      <w:r>
        <w:t xml:space="preserve"> </w:t>
      </w:r>
      <w:r>
        <w:rPr>
          <w:rStyle w:val="VerbatimChar"/>
        </w:rPr>
        <w:t xml:space="preserve">PPR_Swimming_Pools</w:t>
      </w:r>
      <w:r>
        <w:t xml:space="preserve">. Open</w:t>
      </w:r>
      <w:r>
        <w:t xml:space="preserve"> </w:t>
      </w:r>
      <w:r>
        <w:rPr>
          <w:b/>
        </w:rPr>
        <w:t xml:space="preserve">Symbology</w:t>
      </w:r>
      <w:r>
        <w:t xml:space="preserve">. Set method to</w:t>
      </w:r>
      <w:r>
        <w:t xml:space="preserve"> </w:t>
      </w:r>
      <w:r>
        <w:rPr>
          <w:b/>
        </w:rPr>
        <w:t xml:space="preserve">Single Symbol</w:t>
      </w:r>
      <w:r>
        <w:t xml:space="preserve">. Choose a different symbol — a different shape or color (e.g., cyan diamond,</w:t>
      </w:r>
      <w:r>
        <w:t xml:space="preserve"> </w:t>
      </w:r>
      <w:r>
        <w:rPr>
          <w:rStyle w:val="VerbatimChar"/>
        </w:rPr>
        <w:t xml:space="preserve">8 pt</w:t>
      </w:r>
      <w:r>
        <w:t xml:space="preserve">) — so the two facility types are visually distinct.</w:t>
      </w:r>
    </w:p>
    <w:p>
      <w:pPr>
        <w:pStyle w:val="BlockText"/>
      </w:pPr>
      <w:r>
        <w:rPr>
          <w:b/>
        </w:rPr>
        <w:t xml:space="preserve">Note:</w:t>
      </w:r>
      <w:r>
        <w:t xml:space="preserve"> </w:t>
      </w:r>
      <w:r>
        <w:t xml:space="preserve">Because you have only two facility types (pools and spraygrounds), single symbol with distinct shapes and colors is cleaner than Unique Values applied to a combined layer. The legend will show two separate entries.</w:t>
      </w:r>
    </w:p>
    <w:p>
      <w:pPr>
        <w:pStyle w:val="FirstParagraph"/>
      </w:pPr>
      <w:r>
        <w:rPr>
          <w:i/>
        </w:rPr>
        <w:t xml:space="preserve">[Figure: Map showing the heat vulnerability choropleth with blue circle sprayground symbols and cyan diamond pool symbols overlaid]</w:t>
      </w:r>
    </w:p>
    <w:p>
      <w:pPr>
        <w:pStyle w:val="Heading3"/>
      </w:pPr>
      <w:bookmarkStart w:id="48" w:name="build-layout-3-and-export"/>
      <w:r>
        <w:t xml:space="preserve">6.3 Build Layout 3 and export</w:t>
      </w:r>
      <w:bookmarkEnd w:id="48"/>
    </w:p>
    <w:p>
      <w:pPr>
        <w:numPr>
          <w:ilvl w:val="0"/>
          <w:numId w:val="1027"/>
        </w:numPr>
        <w:pStyle w:val="Compact"/>
      </w:pPr>
      <w:r>
        <w:t xml:space="preserve">Return to the</w:t>
      </w:r>
      <w:r>
        <w:t xml:space="preserve"> </w:t>
      </w:r>
      <w:r>
        <w:rPr>
          <w:b/>
        </w:rPr>
        <w:t xml:space="preserve">Layout</w:t>
      </w:r>
      <w:r>
        <w:t xml:space="preserve"> </w:t>
      </w:r>
      <w:r>
        <w:t xml:space="preserve">tab. Update the title to:</w:t>
      </w:r>
      <w:r>
        <w:t xml:space="preserve"> </w:t>
      </w:r>
      <w:r>
        <w:rPr>
          <w:rStyle w:val="VerbatimChar"/>
        </w:rPr>
        <w:t xml:space="preserve">Heat Vulnerability and Public Cooling Resources, Philadelphia</w:t>
      </w:r>
      <w:r>
        <w:t xml:space="preserve">.</w:t>
      </w:r>
    </w:p>
    <w:p>
      <w:pPr>
        <w:numPr>
          <w:ilvl w:val="0"/>
          <w:numId w:val="1027"/>
        </w:numPr>
        <w:pStyle w:val="Compact"/>
      </w:pPr>
      <w:r>
        <w:t xml:space="preserve">Update the legend to include the choropleth classes and both cooling-resource symbols. Verify all entries have plain-language labels (e.g., rename layer entries in the</w:t>
      </w:r>
      <w:r>
        <w:t xml:space="preserve"> </w:t>
      </w:r>
      <w:r>
        <w:rPr>
          <w:b/>
        </w:rPr>
        <w:t xml:space="preserve">Contents</w:t>
      </w:r>
      <w:r>
        <w:t xml:space="preserve"> </w:t>
      </w:r>
      <w:r>
        <w:t xml:space="preserve">pane by double-clicking the name if needed).</w:t>
      </w:r>
    </w:p>
    <w:p>
      <w:pPr>
        <w:numPr>
          <w:ilvl w:val="0"/>
          <w:numId w:val="1027"/>
        </w:numPr>
        <w:pStyle w:val="Compact"/>
      </w:pPr>
      <w:r>
        <w:t xml:space="preserve">Export to PDF as</w:t>
      </w:r>
      <w:r>
        <w:t xml:space="preserve"> </w:t>
      </w:r>
      <w:r>
        <w:rPr>
          <w:rStyle w:val="VerbatimChar"/>
        </w:rPr>
        <w:t xml:space="preserve">Map3_CoolingResources.pdf</w:t>
      </w:r>
      <w:r>
        <w:t xml:space="preserve">.</w:t>
      </w:r>
    </w:p>
    <w:p>
      <w:r>
        <w:pict>
          <v:rect style="width:0;height:1.5pt" o:hralign="center" o:hrstd="t" o:hr="t"/>
        </w:pict>
      </w:r>
    </w:p>
    <w:p>
      <w:pPr>
        <w:pStyle w:val="Heading2"/>
      </w:pPr>
      <w:bookmarkStart w:id="49" w:name="deliverables"/>
      <w:r>
        <w:t xml:space="preserve">Deliverables</w:t>
      </w:r>
      <w:bookmarkEnd w:id="49"/>
    </w:p>
    <w:p>
      <w:pPr>
        <w:pStyle w:val="FirstParagraph"/>
      </w:pPr>
      <w:r>
        <w:t xml:space="preserve">Submit the following to your instructor by the deadline:</w:t>
      </w:r>
    </w:p>
    <w:p>
      <w:pPr>
        <w:numPr>
          <w:ilvl w:val="0"/>
          <w:numId w:val="1028"/>
        </w:numPr>
        <w:pStyle w:val="Compact"/>
      </w:pPr>
      <w:r>
        <w:rPr>
          <w:b/>
        </w:rPr>
        <w:t xml:space="preserve">Three PDF maps</w:t>
      </w:r>
      <w:r>
        <w:t xml:space="preserve"> </w:t>
      </w:r>
      <w:r>
        <w:t xml:space="preserve">exported from ArcGIS Pro:</w:t>
      </w:r>
    </w:p>
    <w:p>
      <w:pPr>
        <w:numPr>
          <w:ilvl w:val="1"/>
          <w:numId w:val="1029"/>
        </w:numPr>
        <w:pStyle w:val="Compact"/>
      </w:pPr>
      <w:r>
        <w:rPr>
          <w:rStyle w:val="VerbatimChar"/>
        </w:rPr>
        <w:t xml:space="preserve">Map1_GSI_FloodZones.pdf</w:t>
      </w:r>
    </w:p>
    <w:p>
      <w:pPr>
        <w:numPr>
          <w:ilvl w:val="1"/>
          <w:numId w:val="1029"/>
        </w:numPr>
        <w:pStyle w:val="Compact"/>
      </w:pPr>
      <w:r>
        <w:rPr>
          <w:rStyle w:val="VerbatimChar"/>
        </w:rPr>
        <w:t xml:space="preserve">Map2_HeatVulnerability.pdf</w:t>
      </w:r>
      <w:r>
        <w:t xml:space="preserve"> </w:t>
      </w:r>
      <w:r>
        <w:t xml:space="preserve">(must include the inset map)</w:t>
      </w:r>
    </w:p>
    <w:p>
      <w:pPr>
        <w:numPr>
          <w:ilvl w:val="1"/>
          <w:numId w:val="1029"/>
        </w:numPr>
        <w:pStyle w:val="Compact"/>
      </w:pPr>
      <w:r>
        <w:rPr>
          <w:rStyle w:val="VerbatimChar"/>
        </w:rPr>
        <w:t xml:space="preserve">Map3_CoolingResources.pdf</w:t>
      </w:r>
    </w:p>
    <w:p>
      <w:pPr>
        <w:numPr>
          <w:ilvl w:val="0"/>
          <w:numId w:val="1028"/>
        </w:numPr>
        <w:pStyle w:val="Compact"/>
      </w:pPr>
      <w:r>
        <w:rPr>
          <w:b/>
        </w:rPr>
        <w:t xml:space="preserve">Classification comparison note (100 words maximum):</w:t>
      </w:r>
      <w:r>
        <w:t xml:space="preserve"> </w:t>
      </w:r>
      <w:r>
        <w:t xml:space="preserve">In a text box on Map 2 or in a separate document, answer: Which classification scheme — Equal Interval or Quantile — did you choose for your final choropleth, and why? What does the scheme emphasize, and what does it obscure?</w:t>
      </w:r>
    </w:p>
    <w:p>
      <w:pPr>
        <w:numPr>
          <w:ilvl w:val="0"/>
          <w:numId w:val="1028"/>
        </w:numPr>
        <w:pStyle w:val="Compact"/>
      </w:pPr>
      <w:r>
        <w:rPr>
          <w:b/>
        </w:rPr>
        <w:t xml:space="preserve">Measured distance:</w:t>
      </w:r>
      <w:r>
        <w:t xml:space="preserve"> </w:t>
      </w:r>
      <w:r>
        <w:t xml:space="preserve">Report the approximate straight-line distance (in miles) you measured in Part 5 and briefly describe what the two endpoints were.</w:t>
      </w:r>
    </w:p>
    <w:p>
      <w:pPr>
        <w:numPr>
          <w:ilvl w:val="0"/>
          <w:numId w:val="1028"/>
        </w:numPr>
        <w:pStyle w:val="Compact"/>
      </w:pPr>
      <w:r>
        <w:rPr>
          <w:b/>
        </w:rPr>
        <w:t xml:space="preserve">AI-assisted explanation (labeled):</w:t>
      </w:r>
      <w:r>
        <w:t xml:space="preserve"> </w:t>
      </w:r>
      <w:r>
        <w:t xml:space="preserve">Paste the plain-language explanation of the heat vulnerability index generated in the AI task below. Label it clearly as AI-assisted and note any edits you made.</w:t>
      </w:r>
    </w:p>
    <w:p>
      <w:r>
        <w:pict>
          <v:rect style="width:0;height:1.5pt" o:hralign="center" o:hrstd="t" o:hr="t"/>
        </w:pict>
      </w:r>
    </w:p>
    <w:p>
      <w:pPr>
        <w:pStyle w:val="Heading2"/>
      </w:pPr>
      <w:bookmarkStart w:id="50" w:name="using-ai-in-this-lab"/>
      <w:r>
        <w:t xml:space="preserve">Using AI in this lab</w:t>
      </w:r>
      <w:bookmarkEnd w:id="50"/>
    </w:p>
    <w:p>
      <w:pPr>
        <w:pStyle w:val="Heading3"/>
      </w:pPr>
      <w:bookmarkStart w:id="51" w:name="task-a-explain-the-concept"/>
      <w:r>
        <w:t xml:space="preserve">Task A — Explain the concept</w:t>
      </w:r>
      <w:bookmarkEnd w:id="51"/>
    </w:p>
    <w:p>
      <w:pPr>
        <w:pStyle w:val="FirstParagraph"/>
      </w:pPr>
      <w:r>
        <w:t xml:space="preserve">Open Claude (claude.ai) or ChatGPT. Paste the following prompt:</w:t>
      </w:r>
    </w:p>
    <w:p>
      <w:pPr>
        <w:pStyle w:val="BlockText"/>
      </w:pPr>
      <w:r>
        <w:t xml:space="preserve">“</w:t>
      </w:r>
      <w:r>
        <w:t xml:space="preserve">In one paragraph written for a public health professional without a GIS background, explain what a heat vulnerability index is, how it is typically constructed, and two methodological limitations a public health practitioner should keep in mind when interpreting it.</w:t>
      </w:r>
      <w:r>
        <w:t xml:space="preserve">”</w:t>
      </w:r>
    </w:p>
    <w:p>
      <w:pPr>
        <w:pStyle w:val="FirstParagraph"/>
      </w:pPr>
      <w:r>
        <w:t xml:space="preserve">Read the response critically. Edit for accuracy if needed. Paste the result (with your edits noted) into your deliverable and label it</w:t>
      </w:r>
      <w:r>
        <w:t xml:space="preserve"> </w:t>
      </w:r>
      <w:r>
        <w:rPr>
          <w:b/>
        </w:rPr>
        <w:t xml:space="preserve">AI-assisted</w:t>
      </w:r>
      <w:r>
        <w:t xml:space="preserve">.</w:t>
      </w:r>
    </w:p>
    <w:p>
      <w:pPr>
        <w:pStyle w:val="Heading3"/>
      </w:pPr>
      <w:bookmarkStart w:id="52" w:name="task-b-compare-classification-schemes"/>
      <w:r>
        <w:t xml:space="preserve">Task B — Compare classification schemes</w:t>
      </w:r>
      <w:bookmarkEnd w:id="52"/>
    </w:p>
    <w:p>
      <w:pPr>
        <w:pStyle w:val="FirstParagraph"/>
      </w:pPr>
      <w:r>
        <w:t xml:space="preserve">Ask the AI:</w:t>
      </w:r>
    </w:p>
    <w:p>
      <w:pPr>
        <w:pStyle w:val="BlockText"/>
      </w:pPr>
      <w:r>
        <w:t xml:space="preserve">“</w:t>
      </w:r>
      <w:r>
        <w:t xml:space="preserve">I am making a choropleth map of a heat vulnerability index for Philadelphia census tracts. Suggest two classification schemes I might use and explain the trade-offs of each for communicating spatial health inequity.</w:t>
      </w:r>
      <w:r>
        <w:t xml:space="preserve">”</w:t>
      </w:r>
    </w:p>
    <w:p>
      <w:pPr>
        <w:pStyle w:val="FirstParagraph"/>
      </w:pPr>
      <w:r>
        <w:t xml:space="preserve">Read the explanation.</w:t>
      </w:r>
      <w:r>
        <w:t xml:space="preserve"> </w:t>
      </w:r>
      <w:r>
        <w:rPr>
          <w:b/>
        </w:rPr>
        <w:t xml:space="preserve">You</w:t>
      </w:r>
      <w:r>
        <w:t xml:space="preserve"> </w:t>
      </w:r>
      <w:r>
        <w:t xml:space="preserve">decide which scheme to use and explain your choice in the deliverable (Task 2 above). The AI explains trade-offs; it does not make the analytic decision.</w:t>
      </w:r>
    </w:p>
    <w:p>
      <w:pPr>
        <w:pStyle w:val="BlockText"/>
      </w:pPr>
      <w:r>
        <w:rPr>
          <w:b/>
        </w:rPr>
        <w:t xml:space="preserve">Guardrail — required reading before using AI in this course:</w:t>
      </w:r>
      <w:r>
        <w:t xml:space="preserve"> </w:t>
      </w:r>
      <w:r>
        <w:t xml:space="preserve">AI assists with three things only:</w:t>
      </w:r>
      <w:r>
        <w:t xml:space="preserve"> </w:t>
      </w:r>
      <w:r>
        <w:rPr>
          <w:b/>
        </w:rPr>
        <w:t xml:space="preserve">scaffolding</w:t>
      </w:r>
      <w:r>
        <w:t xml:space="preserve"> </w:t>
      </w:r>
      <w:r>
        <w:t xml:space="preserve">(drafting text, code, or structure),</w:t>
      </w:r>
      <w:r>
        <w:t xml:space="preserve"> </w:t>
      </w:r>
      <w:r>
        <w:rPr>
          <w:b/>
        </w:rPr>
        <w:t xml:space="preserve">explaining</w:t>
      </w:r>
      <w:r>
        <w:t xml:space="preserve"> </w:t>
      </w:r>
      <w:r>
        <w:t xml:space="preserve">(concepts and errors), and</w:t>
      </w:r>
      <w:r>
        <w:t xml:space="preserve"> </w:t>
      </w:r>
      <w:r>
        <w:rPr>
          <w:b/>
        </w:rPr>
        <w:t xml:space="preserve">critiquing</w:t>
      </w:r>
      <w:r>
        <w:t xml:space="preserve"> </w:t>
      </w:r>
      <w:r>
        <w:t xml:space="preserve">(your map or interpretation). AI does</w:t>
      </w:r>
      <w:r>
        <w:t xml:space="preserve"> </w:t>
      </w:r>
      <w:r>
        <w:rPr>
          <w:b/>
        </w:rPr>
        <w:t xml:space="preserve">not</w:t>
      </w:r>
      <w:r>
        <w:t xml:space="preserve"> </w:t>
      </w:r>
      <w:r>
        <w:t xml:space="preserve">select datasets, make analytic decisions, or interpret rare or small-area events. Never paste patient names, addresses, case IDs, or any other identifiable health information into a public AI tool. Label all AI-assisted output in your deliverables.</w:t>
      </w:r>
    </w:p>
    <w:p>
      <w:r>
        <w:pict>
          <v:rect style="width:0;height:1.5pt" o:hralign="center" o:hrstd="t" o:hr="t"/>
        </w:pict>
      </w:r>
    </w:p>
    <w:p>
      <w:pPr>
        <w:pStyle w:val="Heading2"/>
      </w:pPr>
      <w:bookmarkStart w:id="53" w:name="qgis-equivalent"/>
      <w:r>
        <w:t xml:space="preserve">QGIS equivalent</w:t>
      </w:r>
      <w:bookmarkEnd w:id="53"/>
    </w:p>
    <w:p>
      <w:pPr>
        <w:pStyle w:val="FirstParagraph"/>
      </w:pPr>
      <w:r>
        <w:t xml:space="preserve">Students working in QGIS 3.x can complete the same lab using the following equivalents: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Pro operation</w:t>
            </w:r>
          </w:p>
        </w:tc>
        <w:tc>
          <w:tcPr>
            <w:tcBorders>
              <w:bottom w:val="single"/>
            </w:tcBorders>
            <w:vAlign w:val="bottom"/>
          </w:tcPr>
          <w:p>
            <w:pPr>
              <w:pStyle w:val="Compact"/>
              <w:jc w:val="left"/>
            </w:pPr>
            <w:r>
              <w:t xml:space="preserve">QGIS equivalent</w:t>
            </w:r>
          </w:p>
        </w:tc>
      </w:tr>
      <w:tr>
        <w:tc>
          <w:p>
            <w:pPr>
              <w:pStyle w:val="Compact"/>
              <w:jc w:val="left"/>
            </w:pPr>
            <w:r>
              <w:t xml:space="preserve">New Map project (</w:t>
            </w:r>
            <w:r>
              <w:rPr>
                <w:rStyle w:val="VerbatimChar"/>
              </w:rPr>
              <w:t xml:space="preserve">.aprx</w:t>
            </w:r>
            <w:r>
              <w:t xml:space="preserve">)</w:t>
            </w:r>
          </w:p>
        </w:tc>
        <w:tc>
          <w:p>
            <w:pPr>
              <w:pStyle w:val="Compact"/>
              <w:jc w:val="left"/>
            </w:pPr>
            <w:r>
              <w:rPr>
                <w:b/>
              </w:rPr>
              <w:t xml:space="preserve">Project → New</w:t>
            </w:r>
            <w:r>
              <w:t xml:space="preserve"> </w:t>
            </w:r>
            <w:r>
              <w:t xml:space="preserve">(saves as</w:t>
            </w:r>
            <w:r>
              <w:t xml:space="preserve"> </w:t>
            </w:r>
            <w:r>
              <w:rPr>
                <w:rStyle w:val="VerbatimChar"/>
              </w:rPr>
              <w:t xml:space="preserve">.qgz</w:t>
            </w:r>
            <w:r>
              <w:t xml:space="preserve"> </w:t>
            </w:r>
            <w:r>
              <w:t xml:space="preserve">or</w:t>
            </w:r>
            <w:r>
              <w:t xml:space="preserve"> </w:t>
            </w:r>
            <w:r>
              <w:rPr>
                <w:rStyle w:val="VerbatimChar"/>
              </w:rPr>
              <w:t xml:space="preserve">.qgs</w:t>
            </w:r>
            <w:r>
              <w:t xml:space="preserve">)</w:t>
            </w:r>
          </w:p>
        </w:tc>
      </w:tr>
      <w:tr>
        <w:tc>
          <w:p>
            <w:pPr>
              <w:pStyle w:val="Compact"/>
              <w:jc w:val="left"/>
            </w:pPr>
            <w:r>
              <w:t xml:space="preserve">Add Data (shapefile)</w:t>
            </w:r>
          </w:p>
        </w:tc>
        <w:tc>
          <w:p>
            <w:pPr>
              <w:pStyle w:val="Compact"/>
              <w:jc w:val="left"/>
            </w:pPr>
            <w:r>
              <w:rPr>
                <w:b/>
              </w:rPr>
              <w:t xml:space="preserve">Layer → Add Layer → Add Vector Layer</w:t>
            </w:r>
          </w:p>
        </w:tc>
      </w:tr>
      <w:tr>
        <w:tc>
          <w:p>
            <w:pPr>
              <w:pStyle w:val="Compact"/>
              <w:jc w:val="left"/>
            </w:pPr>
            <w:r>
              <w:t xml:space="preserve">Contents pane</w:t>
            </w:r>
          </w:p>
        </w:tc>
        <w:tc>
          <w:p>
            <w:pPr>
              <w:pStyle w:val="Compact"/>
              <w:jc w:val="left"/>
            </w:pPr>
            <w:r>
              <w:rPr>
                <w:b/>
              </w:rPr>
              <w:t xml:space="preserve">Layers</w:t>
            </w:r>
            <w:r>
              <w:t xml:space="preserve"> </w:t>
            </w:r>
            <w:r>
              <w:t xml:space="preserve">panel</w:t>
            </w:r>
          </w:p>
        </w:tc>
      </w:tr>
      <w:tr>
        <w:tc>
          <w:p>
            <w:pPr>
              <w:pStyle w:val="Compact"/>
              <w:jc w:val="left"/>
            </w:pPr>
            <w:r>
              <w:t xml:space="preserve">Catalog pane</w:t>
            </w:r>
          </w:p>
        </w:tc>
        <w:tc>
          <w:p>
            <w:pPr>
              <w:pStyle w:val="Compact"/>
              <w:jc w:val="left"/>
            </w:pPr>
            <w:r>
              <w:rPr>
                <w:b/>
              </w:rPr>
              <w:t xml:space="preserve">Browser</w:t>
            </w:r>
            <w:r>
              <w:t xml:space="preserve"> </w:t>
            </w:r>
            <w:r>
              <w:t xml:space="preserve">panel</w:t>
            </w:r>
          </w:p>
        </w:tc>
      </w:tr>
      <w:tr>
        <w:tc>
          <w:p>
            <w:pPr>
              <w:pStyle w:val="Compact"/>
              <w:jc w:val="left"/>
            </w:pPr>
            <w:r>
              <w:t xml:space="preserve">Symbology pane (Graduated Colors)</w:t>
            </w:r>
          </w:p>
        </w:tc>
        <w:tc>
          <w:p>
            <w:pPr>
              <w:pStyle w:val="Compact"/>
              <w:jc w:val="left"/>
            </w:pPr>
            <w:r>
              <w:rPr>
                <w:b/>
              </w:rPr>
              <w:t xml:space="preserve">Layer Properties → Symbology → Graduated</w:t>
            </w:r>
          </w:p>
        </w:tc>
      </w:tr>
      <w:tr>
        <w:tc>
          <w:p>
            <w:pPr>
              <w:pStyle w:val="Compact"/>
              <w:jc w:val="left"/>
            </w:pPr>
            <w:r>
              <w:t xml:space="preserve">Unique Values</w:t>
            </w:r>
          </w:p>
        </w:tc>
        <w:tc>
          <w:p>
            <w:pPr>
              <w:pStyle w:val="Compact"/>
              <w:jc w:val="left"/>
            </w:pPr>
            <w:r>
              <w:rPr>
                <w:b/>
              </w:rPr>
              <w:t xml:space="preserve">Layer Properties → Symbology → Categorized</w:t>
            </w:r>
          </w:p>
        </w:tc>
      </w:tr>
      <w:tr>
        <w:tc>
          <w:p>
            <w:pPr>
              <w:pStyle w:val="Compact"/>
              <w:jc w:val="left"/>
            </w:pPr>
            <w:r>
              <w:t xml:space="preserve">New Layout</w:t>
            </w:r>
          </w:p>
        </w:tc>
        <w:tc>
          <w:p>
            <w:pPr>
              <w:pStyle w:val="Compact"/>
              <w:jc w:val="left"/>
            </w:pPr>
            <w:r>
              <w:rPr>
                <w:b/>
              </w:rPr>
              <w:t xml:space="preserve">Project → New Print Layout</w:t>
            </w:r>
          </w:p>
        </w:tc>
      </w:tr>
      <w:tr>
        <w:tc>
          <w:p>
            <w:pPr>
              <w:pStyle w:val="Compact"/>
              <w:jc w:val="left"/>
            </w:pPr>
            <w:r>
              <w:t xml:space="preserve">Map Frame, North Arrow, Scale Bar, Legend</w:t>
            </w:r>
          </w:p>
        </w:tc>
        <w:tc>
          <w:p>
            <w:pPr>
              <w:pStyle w:val="Compact"/>
              <w:jc w:val="left"/>
            </w:pPr>
            <w:r>
              <w:rPr>
                <w:b/>
              </w:rPr>
              <w:t xml:space="preserve">Add Item</w:t>
            </w:r>
            <w:r>
              <w:t xml:space="preserve"> </w:t>
            </w:r>
            <w:r>
              <w:t xml:space="preserve">menu in the Print Layout window</w:t>
            </w:r>
          </w:p>
        </w:tc>
      </w:tr>
      <w:tr>
        <w:tc>
          <w:p>
            <w:pPr>
              <w:pStyle w:val="Compact"/>
              <w:jc w:val="left"/>
            </w:pPr>
            <w:r>
              <w:t xml:space="preserve">Export Layout to PDF</w:t>
            </w:r>
          </w:p>
        </w:tc>
        <w:tc>
          <w:p>
            <w:pPr>
              <w:pStyle w:val="Compact"/>
              <w:jc w:val="left"/>
            </w:pPr>
            <w:r>
              <w:rPr>
                <w:b/>
              </w:rPr>
              <w:t xml:space="preserve">Layout → Export as PDF</w:t>
            </w:r>
          </w:p>
        </w:tc>
      </w:tr>
      <w:tr>
        <w:tc>
          <w:p>
            <w:pPr>
              <w:pStyle w:val="Compact"/>
              <w:jc w:val="left"/>
            </w:pPr>
            <w:r>
              <w:t xml:space="preserve">Measure tool</w:t>
            </w:r>
          </w:p>
        </w:tc>
        <w:tc>
          <w:p>
            <w:pPr>
              <w:pStyle w:val="Compact"/>
              <w:jc w:val="left"/>
            </w:pPr>
            <w:r>
              <w:rPr>
                <w:b/>
              </w:rPr>
              <w:t xml:space="preserve">View → Measure → Measure Line</w:t>
            </w:r>
            <w:r>
              <w:t xml:space="preserve"> </w:t>
            </w:r>
            <w:r>
              <w:t xml:space="preserve">(ruler icon on toolbar)</w:t>
            </w:r>
          </w:p>
        </w:tc>
      </w:tr>
    </w:tbl>
    <w:p>
      <w:r>
        <w:pict>
          <v:rect style="width:0;height:1.5pt" o:hralign="center" o:hrstd="t" o:hr="t"/>
        </w:pict>
      </w:r>
    </w:p>
    <w:p>
      <w:pPr>
        <w:pStyle w:val="Heading2"/>
      </w:pPr>
      <w:bookmarkStart w:id="54" w:name="check-your-understanding"/>
      <w:r>
        <w:t xml:space="preserve">Check your understanding</w:t>
      </w:r>
      <w:bookmarkEnd w:id="54"/>
    </w:p>
    <w:p>
      <w:pPr>
        <w:numPr>
          <w:ilvl w:val="0"/>
          <w:numId w:val="1030"/>
        </w:numPr>
        <w:pStyle w:val="Compact"/>
      </w:pPr>
      <w:r>
        <w:t xml:space="preserve">You add a polygon layer and it covers all the other layers. What do you do in ArcGIS Pro to fix this without removing the layer?</w:t>
      </w:r>
    </w:p>
    <w:p>
      <w:pPr>
        <w:numPr>
          <w:ilvl w:val="0"/>
          <w:numId w:val="1030"/>
        </w:numPr>
        <w:pStyle w:val="Compact"/>
      </w:pPr>
      <w:r>
        <w:t xml:space="preserve">What is the difference between a shapefile (</w:t>
      </w:r>
      <w:r>
        <w:rPr>
          <w:rStyle w:val="VerbatimChar"/>
        </w:rPr>
        <w:t xml:space="preserve">.shp</w:t>
      </w:r>
      <w:r>
        <w:t xml:space="preserve">) and a feature class in a geodatabase? Name one situation where you would prefer each.</w:t>
      </w:r>
    </w:p>
    <w:p>
      <w:pPr>
        <w:numPr>
          <w:ilvl w:val="0"/>
          <w:numId w:val="1030"/>
        </w:numPr>
        <w:pStyle w:val="Compact"/>
      </w:pPr>
      <w:r>
        <w:t xml:space="preserve">A colleague argues that Equal Interval is always better because it shows the true data range. A second colleague says Quantile is always better because it produces balanced class counts. Who is right, and under what circumstances?</w:t>
      </w:r>
    </w:p>
    <w:p>
      <w:pPr>
        <w:numPr>
          <w:ilvl w:val="0"/>
          <w:numId w:val="1030"/>
        </w:numPr>
        <w:pStyle w:val="Compact"/>
      </w:pPr>
      <w:r>
        <w:t xml:space="preserve">You measure the straight-line distance from a high-vulnerability tract to the nearest pool and get 1.2 miles. What does this number tell you, and what does it</w:t>
      </w:r>
      <w:r>
        <w:t xml:space="preserve"> </w:t>
      </w:r>
      <w:r>
        <w:rPr>
          <w:b/>
        </w:rPr>
        <w:t xml:space="preserve">not</w:t>
      </w:r>
      <w:r>
        <w:t xml:space="preserve"> </w:t>
      </w:r>
      <w:r>
        <w:t xml:space="preserve">tell you about residents’ ability to access that pool?</w:t>
      </w:r>
    </w:p>
    <w:p>
      <w:pPr>
        <w:numPr>
          <w:ilvl w:val="0"/>
          <w:numId w:val="1030"/>
        </w:numPr>
        <w:pStyle w:val="Compact"/>
      </w:pPr>
      <w:r>
        <w:t xml:space="preserve">Why is it important to save your ArcGIS Pro project to the W: drive rather than the Desktop or a USB drive?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5">
    <w:nsid w:val="b3cbbdee"/>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4fbe019a"/>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91a27d85"/>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10">
    <w:nsid w:val="615f1ed2"/>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1">
    <w:nsid w:val="238d8174"/>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4">
    <w:nsid w:val="41f388d6"/>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9">
    <w:nsid w:val="da4300bd"/>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8">
    <w:nsid w:val="8c1c03f9"/>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15">
    <w:nsid w:val="5504a012"/>
    <w:multiLevelType w:val="multilevel"/>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2026-06-09T17:17:38Z</dcterms:created>
  <dcterms:modified xsi:type="dcterms:W3CDTF">2026-06-09T17:17:38Z</dcterms:modified>
</cp:coreProperties>
</file>

<file path=docProps/custom.xml><?xml version="1.0" encoding="utf-8"?>
<Properties xmlns="http://schemas.openxmlformats.org/officeDocument/2006/custom-properties" xmlns:vt="http://schemas.openxmlformats.org/officeDocument/2006/docPropsVTypes"/>
</file>