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1dc33b4f8432ea3637222790ad3138bd2ee092"/>
      <w:r>
        <w:t xml:space="preserve">Lab 3b: Buffer and Overlay for Environmental Justice Screening</w:t>
      </w:r>
      <w:bookmarkEnd w:id="20"/>
    </w:p>
    <w:p>
      <w:pPr>
        <w:pStyle w:val="FirstParagraph"/>
      </w:pPr>
      <w:r>
        <w:rPr>
          <w:i/>
        </w:rPr>
        <w:t xml:space="preserve">Intro GIS for Public Health · ArcGIS Pro · Day 3</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Philadelphia hosts dozens of facilities that report toxic chemical releases to the EPA’s Toxic Release Inventory (TRI). Residents living near these facilities may face elevated exposure risk — but who lives nearby, and are those populations disproportionately composed of people of color? This lab uses buffer zones and overlay to estimate the population within 0–500 m, 500 m–1 km, and 1–2 km of TRI facilities and compares the racial/ethnic composition of that population to the rest of the city.</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Confirm a layer’s coordinate reference system (CRS) before running distance operations</w:t>
      </w:r>
    </w:p>
    <w:p>
      <w:pPr>
        <w:numPr>
          <w:ilvl w:val="0"/>
          <w:numId w:val="1001"/>
        </w:numPr>
        <w:pStyle w:val="Compact"/>
      </w:pPr>
      <w:r>
        <w:t xml:space="preserve">Create multiple-ring buffer zones around point features using the</w:t>
      </w:r>
      <w:r>
        <w:t xml:space="preserve"> </w:t>
      </w:r>
      <w:r>
        <w:rPr>
          <w:b/>
        </w:rPr>
        <w:t xml:space="preserve">Multiple Ring Buffer</w:t>
      </w:r>
      <w:r>
        <w:t xml:space="preserve"> </w:t>
      </w:r>
      <w:r>
        <w:t xml:space="preserve">tool</w:t>
      </w:r>
    </w:p>
    <w:p>
      <w:pPr>
        <w:numPr>
          <w:ilvl w:val="0"/>
          <w:numId w:val="1001"/>
        </w:numPr>
        <w:pStyle w:val="Compact"/>
      </w:pPr>
      <w:r>
        <w:t xml:space="preserve">Overlay buffer zones with census block groups using</w:t>
      </w:r>
      <w:r>
        <w:t xml:space="preserve"> </w:t>
      </w:r>
      <w:r>
        <w:rPr>
          <w:b/>
        </w:rPr>
        <w:t xml:space="preserve">Intersect</w:t>
      </w:r>
    </w:p>
    <w:p>
      <w:pPr>
        <w:numPr>
          <w:ilvl w:val="0"/>
          <w:numId w:val="1001"/>
        </w:numPr>
        <w:pStyle w:val="Compact"/>
      </w:pPr>
      <w:r>
        <w:t xml:space="preserve">Apportion block-group population to buffer rings using areal weighting (field calculator)</w:t>
      </w:r>
    </w:p>
    <w:p>
      <w:pPr>
        <w:numPr>
          <w:ilvl w:val="0"/>
          <w:numId w:val="1001"/>
        </w:numPr>
        <w:pStyle w:val="Compact"/>
      </w:pPr>
      <w:r>
        <w:t xml:space="preserve">Select block groups within a distance using</w:t>
      </w:r>
      <w:r>
        <w:t xml:space="preserve"> </w:t>
      </w:r>
      <w:r>
        <w:rPr>
          <w:b/>
        </w:rPr>
        <w:t xml:space="preserve">Select By Location</w:t>
      </w:r>
    </w:p>
    <w:p>
      <w:pPr>
        <w:numPr>
          <w:ilvl w:val="0"/>
          <w:numId w:val="1001"/>
        </w:numPr>
        <w:pStyle w:val="Compact"/>
      </w:pPr>
      <w:r>
        <w:t xml:space="preserve">Isolate the</w:t>
      </w:r>
      <w:r>
        <w:t xml:space="preserve"> </w:t>
      </w:r>
      <w:r>
        <w:t xml:space="preserve">“</w:t>
      </w:r>
      <w:r>
        <w:t xml:space="preserve">outside</w:t>
      </w:r>
      <w:r>
        <w:t xml:space="preserve">”</w:t>
      </w:r>
      <w:r>
        <w:t xml:space="preserve"> </w:t>
      </w:r>
      <w:r>
        <w:t xml:space="preserve">population using</w:t>
      </w:r>
      <w:r>
        <w:t xml:space="preserve"> </w:t>
      </w:r>
      <w:r>
        <w:rPr>
          <w:b/>
        </w:rPr>
        <w:t xml:space="preserve">Erase</w:t>
      </w:r>
    </w:p>
    <w:p>
      <w:pPr>
        <w:numPr>
          <w:ilvl w:val="0"/>
          <w:numId w:val="1001"/>
        </w:numPr>
        <w:pStyle w:val="Compact"/>
      </w:pPr>
      <w:r>
        <w:t xml:space="preserve">Summarize demographic counts by group using</w:t>
      </w:r>
      <w:r>
        <w:t xml:space="preserve"> </w:t>
      </w:r>
      <w:r>
        <w:rPr>
          <w:b/>
        </w:rPr>
        <w:t xml:space="preserve">Summary Statistics</w:t>
      </w:r>
    </w:p>
    <w:p>
      <w:pPr>
        <w:numPr>
          <w:ilvl w:val="0"/>
          <w:numId w:val="1001"/>
        </w:numPr>
        <w:pStyle w:val="Compact"/>
      </w:pPr>
      <w:r>
        <w:t xml:space="preserve">Produce a publication-ready map of buffer rings with appropriate symbology</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A map showing three concentric buffer rings (0–500 m, 500 m–1 km, 1–2 km) around Philadelphia TRI facilities, overlaid on block groups symbolized by percent non-White population.</w:t>
      </w:r>
    </w:p>
    <w:p>
      <w:pPr>
        <w:numPr>
          <w:ilvl w:val="0"/>
          <w:numId w:val="1002"/>
        </w:numPr>
        <w:pStyle w:val="Compact"/>
      </w:pPr>
      <w:r>
        <w:t xml:space="preserve">A summary table comparing racial/ethnic composition inside versus outside 1 km of TRI facilities.</w:t>
      </w:r>
    </w:p>
    <w:p>
      <w:pPr>
        <w:numPr>
          <w:ilvl w:val="0"/>
          <w:numId w:val="1002"/>
        </w:numPr>
        <w:pStyle w:val="Compact"/>
      </w:pPr>
      <w:r>
        <w:t xml:space="preserve">A short written interpretation (100 words) of the comparison table, noting analytic limitations.</w:t>
      </w:r>
    </w:p>
    <w:p>
      <w:r>
        <w:pict>
          <v:rect style="width:0;height:1.5pt" o:hralign="center" o:hrstd="t" o:hr="t"/>
        </w:pict>
      </w:r>
    </w:p>
    <w:p>
      <w:pPr>
        <w:pStyle w:val="Heading2"/>
      </w:pPr>
      <w:bookmarkStart w:id="24" w:name="data"/>
      <w:r>
        <w:t xml:space="preserve">Data</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phl_TRI_facilities.shp</w:t>
            </w:r>
          </w:p>
        </w:tc>
        <w:tc>
          <w:p>
            <w:pPr>
              <w:pStyle w:val="Compact"/>
              <w:jc w:val="left"/>
            </w:pPr>
            <w:r>
              <w:t xml:space="preserve">EPA Toxic Release Inventory facilities, Philadelphia subset</w:t>
            </w:r>
          </w:p>
        </w:tc>
        <w:tc>
          <w:p>
            <w:pPr>
              <w:pStyle w:val="Compact"/>
              <w:jc w:val="left"/>
            </w:pPr>
            <w:r>
              <w:t xml:space="preserve">Instructor-provided; original data from EPA TRI Explorer (epa.gov/tri)</w:t>
            </w:r>
          </w:p>
        </w:tc>
      </w:tr>
      <w:tr>
        <w:tc>
          <w:p>
            <w:pPr>
              <w:pStyle w:val="Compact"/>
              <w:jc w:val="left"/>
            </w:pPr>
            <w:r>
              <w:rPr>
                <w:rStyle w:val="VerbatimChar"/>
              </w:rPr>
              <w:t xml:space="preserve">phl_blockgroups_acs.shp</w:t>
            </w:r>
          </w:p>
        </w:tc>
        <w:tc>
          <w:p>
            <w:pPr>
              <w:pStyle w:val="Compact"/>
              <w:jc w:val="left"/>
            </w:pPr>
            <w:r>
              <w:t xml:space="preserve">ACS 2019–2023 5-year block groups with race/ethnicity table B03002</w:t>
            </w:r>
          </w:p>
        </w:tc>
        <w:tc>
          <w:p>
            <w:pPr>
              <w:pStyle w:val="Compact"/>
              <w:jc w:val="left"/>
            </w:pPr>
            <w:r>
              <w:t xml:space="preserve">Instructor-provided; original data from Census Bureau / NHGIS</w:t>
            </w:r>
          </w:p>
        </w:tc>
      </w:tr>
    </w:tbl>
    <w:p>
      <w:pPr>
        <w:pStyle w:val="BodyText"/>
      </w:pPr>
      <w:r>
        <w:t xml:space="preserve">All data are on the</w:t>
      </w:r>
      <w:r>
        <w:t xml:space="preserve"> </w:t>
      </w:r>
      <w:r>
        <w:rPr>
          <w:b/>
        </w:rPr>
        <w:t xml:space="preserve">W: drive</w:t>
      </w:r>
      <w:r>
        <w:t xml:space="preserve"> </w:t>
      </w:r>
      <w:r>
        <w:t xml:space="preserve">— the shorthand used throughout these labs for your course storage location (e.g.,</w:t>
      </w:r>
      <w:r>
        <w:t xml:space="preserve"> </w:t>
      </w:r>
      <w:r>
        <w:rPr>
          <w:rStyle w:val="VerbatimChar"/>
        </w:rPr>
        <w:t xml:space="preserve">W:\Lab03b\data\</w:t>
      </w:r>
      <w:r>
        <w:t xml:space="preserve">). Both layers are pre-projected to</w:t>
      </w:r>
      <w:r>
        <w:t xml:space="preserve"> </w:t>
      </w:r>
      <w:r>
        <w:rPr>
          <w:b/>
        </w:rPr>
        <w:t xml:space="preserve">NAD83 UTM Zone 18N (EPSG:26918)</w:t>
      </w:r>
      <w:r>
        <w:t xml:space="preserve">, with map units in meters. You learned how to reproject layers in Lab 2a; this lab assumes that skill. Before buffering, you will confirm the CRS is in meters.</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Completion of Labs 1, 2a, and 3a. You should know how to add data, open the Geoprocessing pane, run tools, open attribute tables, and use the Field Calculator.</w:t>
      </w:r>
    </w:p>
    <w:p>
      <w:pPr>
        <w:pStyle w:val="BodyText"/>
      </w:pPr>
      <w:r>
        <w:rPr>
          <w:b/>
        </w:rPr>
        <w:t xml:space="preserve">Estimated time:</w:t>
      </w:r>
      <w:r>
        <w:t xml:space="preserve"> </w:t>
      </w:r>
      <w:r>
        <w:t xml:space="preserve">2.5–3 hours.</w:t>
      </w:r>
    </w:p>
    <w:p>
      <w:pPr>
        <w:pStyle w:val="BodyText"/>
      </w:pPr>
      <w:r>
        <w:rPr>
          <w:b/>
        </w:rPr>
        <w:t xml:space="preserve">Software:</w:t>
      </w:r>
      <w:r>
        <w:t xml:space="preserve"> </w:t>
      </w:r>
      <w:r>
        <w:t xml:space="preserve">ArcGIS Pro 3.x.</w:t>
      </w:r>
    </w:p>
    <w:p>
      <w:pPr>
        <w:pStyle w:val="BodyText"/>
      </w:pPr>
      <w:r>
        <w:t xml:space="preserve">Open ArcGIS Pro and create a new project named</w:t>
      </w:r>
      <w:r>
        <w:t xml:space="preserve"> </w:t>
      </w:r>
      <w:r>
        <w:rPr>
          <w:rStyle w:val="VerbatimChar"/>
        </w:rPr>
        <w:t xml:space="preserve">Lab03b_TRI_Buffer</w:t>
      </w:r>
      <w:r>
        <w:t xml:space="preserve"> </w:t>
      </w:r>
      <w:r>
        <w:t xml:space="preserve">in your</w:t>
      </w:r>
      <w:r>
        <w:t xml:space="preserve"> </w:t>
      </w:r>
      <w:r>
        <w:rPr>
          <w:rStyle w:val="VerbatimChar"/>
        </w:rPr>
        <w:t xml:space="preserve">W:\Lab03b\</w:t>
      </w:r>
      <w:r>
        <w:t xml:space="preserve"> </w:t>
      </w:r>
      <w:r>
        <w:t xml:space="preserve">folder. The project creates a default file geodatabase (</w:t>
      </w:r>
      <w:r>
        <w:rPr>
          <w:rStyle w:val="VerbatimChar"/>
        </w:rPr>
        <w:t xml:space="preserve">Lab03b_TRI_Buffer.gdb</w:t>
      </w:r>
      <w:r>
        <w:t xml:space="preserve">) — save all output feature classes there unless otherwise noted.</w:t>
      </w:r>
    </w:p>
    <w:p>
      <w:r>
        <w:pict>
          <v:rect style="width:0;height:1.5pt" o:hralign="center" o:hrstd="t" o:hr="t"/>
        </w:pict>
      </w:r>
    </w:p>
    <w:p>
      <w:pPr>
        <w:pStyle w:val="Heading2"/>
      </w:pPr>
      <w:bookmarkStart w:id="26" w:name="part-1-confirm-the-crs-and-load-data"/>
      <w:r>
        <w:t xml:space="preserve">Part 1: Confirm the CRS and load data</w:t>
      </w:r>
      <w:bookmarkEnd w:id="26"/>
    </w:p>
    <w:p>
      <w:pPr>
        <w:pStyle w:val="BlockText"/>
      </w:pPr>
      <w:r>
        <w:rPr>
          <w:b/>
        </w:rPr>
        <w:t xml:space="preserve">Note:</w:t>
      </w:r>
      <w:r>
        <w:t xml:space="preserve"> </w:t>
      </w:r>
      <w:r>
        <w:t xml:space="preserve">Distance-based operations (buffers, proximity analysis) require a projected CRS with linear units. Always check before running. A geographic CRS (degrees) will produce incorrect distances.</w:t>
      </w:r>
    </w:p>
    <w:p>
      <w:pPr>
        <w:numPr>
          <w:ilvl w:val="0"/>
          <w:numId w:val="1003"/>
        </w:numPr>
      </w:pPr>
      <w:r>
        <w:t xml:space="preserve">On the</w:t>
      </w:r>
      <w:r>
        <w:t xml:space="preserve"> </w:t>
      </w:r>
      <w:r>
        <w:rPr>
          <w:b/>
        </w:rPr>
        <w:t xml:space="preserve">Map</w:t>
      </w:r>
      <w:r>
        <w:t xml:space="preserve"> </w:t>
      </w:r>
      <w:r>
        <w:t xml:space="preserve">tab, in the</w:t>
      </w:r>
      <w:r>
        <w:t xml:space="preserve"> </w:t>
      </w:r>
      <w:r>
        <w:rPr>
          <w:b/>
        </w:rPr>
        <w:t xml:space="preserve">Layer</w:t>
      </w:r>
      <w:r>
        <w:t xml:space="preserve"> </w:t>
      </w:r>
      <w:r>
        <w:t xml:space="preserve">group, click</w:t>
      </w:r>
      <w:r>
        <w:t xml:space="preserve"> </w:t>
      </w:r>
      <w:r>
        <w:rPr>
          <w:b/>
        </w:rPr>
        <w:t xml:space="preserve">Add Data</w:t>
      </w:r>
      <w:r>
        <w:t xml:space="preserve">. Navigate to</w:t>
      </w:r>
      <w:r>
        <w:t xml:space="preserve"> </w:t>
      </w:r>
      <w:r>
        <w:rPr>
          <w:rStyle w:val="VerbatimChar"/>
        </w:rPr>
        <w:t xml:space="preserve">W:\Lab03b\data\</w:t>
      </w:r>
      <w:r>
        <w:t xml:space="preserve"> </w:t>
      </w:r>
      <w:r>
        <w:t xml:space="preserve">and add both</w:t>
      </w:r>
      <w:r>
        <w:t xml:space="preserve"> </w:t>
      </w:r>
      <w:r>
        <w:rPr>
          <w:rStyle w:val="VerbatimChar"/>
        </w:rPr>
        <w:t xml:space="preserve">phl_TRI_facilities.shp</w:t>
      </w:r>
      <w:r>
        <w:t xml:space="preserve"> </w:t>
      </w:r>
      <w:r>
        <w:t xml:space="preserve">and</w:t>
      </w:r>
      <w:r>
        <w:t xml:space="preserve"> </w:t>
      </w:r>
      <w:r>
        <w:rPr>
          <w:rStyle w:val="VerbatimChar"/>
        </w:rPr>
        <w:t xml:space="preserve">phl_blockgroups_acs.shp</w:t>
      </w:r>
      <w:r>
        <w:t xml:space="preserve">.</w:t>
      </w:r>
    </w:p>
    <w:p>
      <w:pPr>
        <w:numPr>
          <w:ilvl w:val="0"/>
          <w:numId w:val="1003"/>
        </w:numPr>
      </w:pPr>
      <w:r>
        <w:t xml:space="preserve">In the</w:t>
      </w:r>
      <w:r>
        <w:t xml:space="preserve"> </w:t>
      </w:r>
      <w:r>
        <w:rPr>
          <w:b/>
        </w:rPr>
        <w:t xml:space="preserve">Contents</w:t>
      </w:r>
      <w:r>
        <w:t xml:space="preserve"> </w:t>
      </w:r>
      <w:r>
        <w:t xml:space="preserve">pane, right-click</w:t>
      </w:r>
      <w:r>
        <w:t xml:space="preserve"> </w:t>
      </w:r>
      <w:r>
        <w:rPr>
          <w:rStyle w:val="VerbatimChar"/>
        </w:rPr>
        <w:t xml:space="preserve">phl_TRI_facilities</w:t>
      </w:r>
      <w:r>
        <w:t xml:space="preserve"> </w:t>
      </w:r>
      <w:r>
        <w:t xml:space="preserve">and choose</w:t>
      </w:r>
      <w:r>
        <w:t xml:space="preserve"> </w:t>
      </w:r>
      <w:r>
        <w:rPr>
          <w:b/>
        </w:rPr>
        <w:t xml:space="preserve">Properties</w:t>
      </w:r>
      <w:r>
        <w:t xml:space="preserve">. Click the</w:t>
      </w:r>
      <w:r>
        <w:t xml:space="preserve"> </w:t>
      </w:r>
      <w:r>
        <w:rPr>
          <w:b/>
        </w:rPr>
        <w:t xml:space="preserve">Source</w:t>
      </w:r>
      <w:r>
        <w:t xml:space="preserve"> </w:t>
      </w:r>
      <w:r>
        <w:t xml:space="preserve">tab. Under</w:t>
      </w:r>
      <w:r>
        <w:t xml:space="preserve"> </w:t>
      </w:r>
      <w:r>
        <w:rPr>
          <w:b/>
        </w:rPr>
        <w:t xml:space="preserve">Spatial Reference</w:t>
      </w:r>
      <w:r>
        <w:t xml:space="preserve">, confirm the CRS reads:</w:t>
      </w:r>
      <w:r>
        <w:t xml:space="preserve"> </w:t>
      </w:r>
      <w:r>
        <w:rPr>
          <w:i/>
        </w:rPr>
        <w:t xml:space="preserve">NAD 1983 UTM Zone 18N</w:t>
      </w:r>
      <w:r>
        <w:t xml:space="preserve"> </w:t>
      </w:r>
      <w:r>
        <w:t xml:space="preserve">and that the linear unit is</w:t>
      </w:r>
      <w:r>
        <w:t xml:space="preserve"> </w:t>
      </w:r>
      <w:r>
        <w:rPr>
          <w:b/>
        </w:rPr>
        <w:t xml:space="preserve">Meter</w:t>
      </w:r>
      <w:r>
        <w:t xml:space="preserve">. Click</w:t>
      </w:r>
      <w:r>
        <w:t xml:space="preserve"> </w:t>
      </w:r>
      <w:r>
        <w:rPr>
          <w:b/>
        </w:rPr>
        <w:t xml:space="preserve">Cancel</w:t>
      </w:r>
      <w:r>
        <w:t xml:space="preserve">.</w:t>
      </w:r>
    </w:p>
    <w:p>
      <w:pPr>
        <w:numPr>
          <w:ilvl w:val="0"/>
          <w:numId w:val="1003"/>
        </w:numPr>
      </w:pPr>
      <w:r>
        <w:t xml:space="preserve">Repeat step 2 for</w:t>
      </w:r>
      <w:r>
        <w:t xml:space="preserve"> </w:t>
      </w:r>
      <w:r>
        <w:rPr>
          <w:rStyle w:val="VerbatimChar"/>
        </w:rPr>
        <w:t xml:space="preserve">phl_blockgroups_acs</w:t>
      </w:r>
      <w:r>
        <w:t xml:space="preserve">. Both layers must show meters.</w:t>
      </w:r>
    </w:p>
    <w:p>
      <w:pPr>
        <w:pStyle w:val="BlockText"/>
      </w:pPr>
      <w:r>
        <w:rPr>
          <w:b/>
        </w:rPr>
        <w:t xml:space="preserve">Warning:</w:t>
      </w:r>
      <w:r>
        <w:t xml:space="preserve"> </w:t>
      </w:r>
      <w:r>
        <w:t xml:space="preserve">If either layer shows a geographic CRS (e.g., GCS WGS 1984, units in Decimal Degrees), do not proceed. Reproject the layer to EPSG:26918 using the</w:t>
      </w:r>
      <w:r>
        <w:t xml:space="preserve"> </w:t>
      </w:r>
      <w:r>
        <w:rPr>
          <w:b/>
        </w:rPr>
        <w:t xml:space="preserve">Project</w:t>
      </w:r>
      <w:r>
        <w:t xml:space="preserve"> </w:t>
      </w:r>
      <w:r>
        <w:t xml:space="preserve">tool (Analysis tab → Tools, search</w:t>
      </w:r>
      <w:r>
        <w:t xml:space="preserve"> </w:t>
      </w:r>
      <w:r>
        <w:t xml:space="preserve">“</w:t>
      </w:r>
      <w:r>
        <w:t xml:space="preserve">Project</w:t>
      </w:r>
      <w:r>
        <w:t xml:space="preserve">”</w:t>
      </w:r>
      <w:r>
        <w:t xml:space="preserve">) before continuing. Buffers run in a geographic CRS will appear to work but the distances will be wrong — ArcGIS Pro measures in degrees, not meters.</w:t>
      </w:r>
    </w:p>
    <w:p>
      <w:pPr>
        <w:numPr>
          <w:ilvl w:val="0"/>
          <w:numId w:val="1004"/>
        </w:numPr>
        <w:pStyle w:val="Compact"/>
      </w:pPr>
      <w:r>
        <w:t xml:space="preserve">On the</w:t>
      </w:r>
      <w:r>
        <w:t xml:space="preserve"> </w:t>
      </w:r>
      <w:r>
        <w:rPr>
          <w:b/>
        </w:rPr>
        <w:t xml:space="preserve">Map</w:t>
      </w:r>
      <w:r>
        <w:t xml:space="preserve"> </w:t>
      </w:r>
      <w:r>
        <w:t xml:space="preserve">tab, in the</w:t>
      </w:r>
      <w:r>
        <w:t xml:space="preserve"> </w:t>
      </w:r>
      <w:r>
        <w:rPr>
          <w:b/>
        </w:rPr>
        <w:t xml:space="preserve">Navigate</w:t>
      </w:r>
      <w:r>
        <w:t xml:space="preserve"> </w:t>
      </w:r>
      <w:r>
        <w:t xml:space="preserve">group, click</w:t>
      </w:r>
      <w:r>
        <w:t xml:space="preserve"> </w:t>
      </w:r>
      <w:r>
        <w:rPr>
          <w:b/>
        </w:rPr>
        <w:t xml:space="preserve">Full Extent</w:t>
      </w:r>
      <w:r>
        <w:t xml:space="preserve"> </w:t>
      </w:r>
      <w:r>
        <w:t xml:space="preserve">to zoom to the data.</w:t>
      </w:r>
    </w:p>
    <w:p>
      <w:pPr>
        <w:pStyle w:val="FirstParagraph"/>
      </w:pPr>
      <w:r>
        <w:rPr>
          <w:i/>
        </w:rPr>
        <w:t xml:space="preserve">[Figure: Map view showing TRI facility points (red dots) over Philadelphia block group polygons, both in UTM 18N]</w:t>
      </w:r>
    </w:p>
    <w:p>
      <w:pPr>
        <w:numPr>
          <w:ilvl w:val="0"/>
          <w:numId w:val="1005"/>
        </w:numPr>
      </w:pPr>
      <w:r>
        <w:t xml:space="preserve">Open the attribute table for</w:t>
      </w:r>
      <w:r>
        <w:t xml:space="preserve"> </w:t>
      </w:r>
      <w:r>
        <w:rPr>
          <w:rStyle w:val="VerbatimChar"/>
        </w:rPr>
        <w:t xml:space="preserve">phl_blockgroups_acs</w:t>
      </w:r>
      <w:r>
        <w:t xml:space="preserve"> </w:t>
      </w:r>
      <w:r>
        <w:t xml:space="preserve">(right-click the layer in the</w:t>
      </w:r>
      <w:r>
        <w:t xml:space="preserve"> </w:t>
      </w:r>
      <w:r>
        <w:rPr>
          <w:b/>
        </w:rPr>
        <w:t xml:space="preserve">Contents</w:t>
      </w:r>
      <w:r>
        <w:t xml:space="preserve"> </w:t>
      </w:r>
      <w:r>
        <w:t xml:space="preserve">pane →</w:t>
      </w:r>
      <w:r>
        <w:t xml:space="preserve"> </w:t>
      </w:r>
      <w:r>
        <w:rPr>
          <w:b/>
        </w:rPr>
        <w:t xml:space="preserve">Attribute Table</w:t>
      </w:r>
      <w:r>
        <w:t xml:space="preserve">). Identify the following fields you will use later:</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Field</w:t>
            </w:r>
          </w:p>
        </w:tc>
        <w:tc>
          <w:tcPr>
            <w:tcBorders>
              <w:bottom w:val="single"/>
            </w:tcBorders>
            <w:vAlign w:val="bottom"/>
          </w:tcPr>
          <w:p>
            <w:pPr>
              <w:numPr>
                <w:ilvl w:val="0"/>
                <w:numId w:val="1000"/>
              </w:numPr>
              <w:pStyle w:val="Compact"/>
              <w:jc w:val="left"/>
            </w:pPr>
            <w:r>
              <w:t xml:space="preserve">Contents</w:t>
            </w:r>
          </w:p>
        </w:tc>
      </w:tr>
      <w:tr>
        <w:tc>
          <w:p>
            <w:pPr>
              <w:numPr>
                <w:ilvl w:val="0"/>
                <w:numId w:val="1000"/>
              </w:numPr>
              <w:pStyle w:val="Compact"/>
              <w:jc w:val="left"/>
            </w:pPr>
            <w:r>
              <w:rPr>
                <w:rStyle w:val="VerbatimChar"/>
              </w:rPr>
              <w:t xml:space="preserve">GEOID</w:t>
            </w:r>
          </w:p>
        </w:tc>
        <w:tc>
          <w:p>
            <w:pPr>
              <w:numPr>
                <w:ilvl w:val="0"/>
                <w:numId w:val="1000"/>
              </w:numPr>
              <w:pStyle w:val="Compact"/>
              <w:jc w:val="left"/>
            </w:pPr>
            <w:r>
              <w:t xml:space="preserve">Block group FIPS code (unique identifier)</w:t>
            </w:r>
          </w:p>
        </w:tc>
      </w:tr>
      <w:tr>
        <w:tc>
          <w:p>
            <w:pPr>
              <w:numPr>
                <w:ilvl w:val="0"/>
                <w:numId w:val="1000"/>
              </w:numPr>
              <w:pStyle w:val="Compact"/>
              <w:jc w:val="left"/>
            </w:pPr>
            <w:r>
              <w:rPr>
                <w:rStyle w:val="VerbatimChar"/>
              </w:rPr>
              <w:t xml:space="preserve">TOTPOP</w:t>
            </w:r>
          </w:p>
        </w:tc>
        <w:tc>
          <w:p>
            <w:pPr>
              <w:numPr>
                <w:ilvl w:val="0"/>
                <w:numId w:val="1000"/>
              </w:numPr>
              <w:pStyle w:val="Compact"/>
              <w:jc w:val="left"/>
            </w:pPr>
            <w:r>
              <w:t xml:space="preserve">Total population (ACS B03002_001E)</w:t>
            </w:r>
          </w:p>
        </w:tc>
      </w:tr>
      <w:tr>
        <w:tc>
          <w:p>
            <w:pPr>
              <w:numPr>
                <w:ilvl w:val="0"/>
                <w:numId w:val="1000"/>
              </w:numPr>
              <w:pStyle w:val="Compact"/>
              <w:jc w:val="left"/>
            </w:pPr>
            <w:r>
              <w:rPr>
                <w:rStyle w:val="VerbatimChar"/>
              </w:rPr>
              <w:t xml:space="preserve">NH_WHITE</w:t>
            </w:r>
          </w:p>
        </w:tc>
        <w:tc>
          <w:p>
            <w:pPr>
              <w:numPr>
                <w:ilvl w:val="0"/>
                <w:numId w:val="1000"/>
              </w:numPr>
              <w:pStyle w:val="Compact"/>
              <w:jc w:val="left"/>
            </w:pPr>
            <w:r>
              <w:t xml:space="preserve">Non-Hispanic White alone (B03002_003E)</w:t>
            </w:r>
          </w:p>
        </w:tc>
      </w:tr>
      <w:tr>
        <w:tc>
          <w:p>
            <w:pPr>
              <w:numPr>
                <w:ilvl w:val="0"/>
                <w:numId w:val="1000"/>
              </w:numPr>
              <w:pStyle w:val="Compact"/>
              <w:jc w:val="left"/>
            </w:pPr>
            <w:r>
              <w:rPr>
                <w:rStyle w:val="VerbatimChar"/>
              </w:rPr>
              <w:t xml:space="preserve">NH_BLACK</w:t>
            </w:r>
          </w:p>
        </w:tc>
        <w:tc>
          <w:p>
            <w:pPr>
              <w:numPr>
                <w:ilvl w:val="0"/>
                <w:numId w:val="1000"/>
              </w:numPr>
              <w:pStyle w:val="Compact"/>
              <w:jc w:val="left"/>
            </w:pPr>
            <w:r>
              <w:t xml:space="preserve">Non-Hispanic Black or African American alone (B03002_004E)</w:t>
            </w:r>
          </w:p>
        </w:tc>
      </w:tr>
      <w:tr>
        <w:tc>
          <w:p>
            <w:pPr>
              <w:numPr>
                <w:ilvl w:val="0"/>
                <w:numId w:val="1000"/>
              </w:numPr>
              <w:pStyle w:val="Compact"/>
              <w:jc w:val="left"/>
            </w:pPr>
            <w:r>
              <w:rPr>
                <w:rStyle w:val="VerbatimChar"/>
              </w:rPr>
              <w:t xml:space="preserve">HISPANIC</w:t>
            </w:r>
          </w:p>
        </w:tc>
        <w:tc>
          <w:p>
            <w:pPr>
              <w:numPr>
                <w:ilvl w:val="0"/>
                <w:numId w:val="1000"/>
              </w:numPr>
              <w:pStyle w:val="Compact"/>
              <w:jc w:val="left"/>
            </w:pPr>
            <w:r>
              <w:t xml:space="preserve">Hispanic or Latino of any race (B03002_012E)</w:t>
            </w:r>
          </w:p>
        </w:tc>
      </w:tr>
      <w:tr>
        <w:tc>
          <w:p>
            <w:pPr>
              <w:numPr>
                <w:ilvl w:val="0"/>
                <w:numId w:val="1000"/>
              </w:numPr>
              <w:pStyle w:val="Compact"/>
              <w:jc w:val="left"/>
            </w:pPr>
            <w:r>
              <w:rPr>
                <w:rStyle w:val="VerbatimChar"/>
              </w:rPr>
              <w:t xml:space="preserve">NH_OTHER</w:t>
            </w:r>
          </w:p>
        </w:tc>
        <w:tc>
          <w:p>
            <w:pPr>
              <w:numPr>
                <w:ilvl w:val="0"/>
                <w:numId w:val="1000"/>
              </w:numPr>
              <w:pStyle w:val="Compact"/>
              <w:jc w:val="left"/>
            </w:pPr>
            <w:r>
              <w:t xml:space="preserve">All other non-Hispanic groups combined</w:t>
            </w:r>
          </w:p>
        </w:tc>
      </w:tr>
      <w:tr>
        <w:tc>
          <w:p>
            <w:pPr>
              <w:numPr>
                <w:ilvl w:val="0"/>
                <w:numId w:val="1000"/>
              </w:numPr>
              <w:pStyle w:val="Compact"/>
              <w:jc w:val="left"/>
            </w:pPr>
            <w:r>
              <w:rPr>
                <w:rStyle w:val="VerbatimChar"/>
              </w:rPr>
              <w:t xml:space="preserve">AREASQM</w:t>
            </w:r>
          </w:p>
        </w:tc>
        <w:tc>
          <w:p>
            <w:pPr>
              <w:numPr>
                <w:ilvl w:val="0"/>
                <w:numId w:val="1000"/>
              </w:numPr>
              <w:pStyle w:val="Compact"/>
              <w:jc w:val="left"/>
            </w:pPr>
            <w:r>
              <w:t xml:space="preserve">Block group area in square meters (pre-calculated)</w:t>
            </w:r>
          </w:p>
        </w:tc>
      </w:tr>
    </w:tbl>
    <w:p>
      <w:pPr>
        <w:numPr>
          <w:ilvl w:val="0"/>
          <w:numId w:val="1000"/>
        </w:numPr>
      </w:pPr>
      <w:r>
        <w:t xml:space="preserve">Close the attribute table.</w:t>
      </w:r>
    </w:p>
    <w:p>
      <w:r>
        <w:pict>
          <v:rect style="width:0;height:1.5pt" o:hralign="center" o:hrstd="t" o:hr="t"/>
        </w:pict>
      </w:r>
    </w:p>
    <w:p>
      <w:pPr>
        <w:pStyle w:val="Heading2"/>
      </w:pPr>
      <w:bookmarkStart w:id="27" w:name="part-2-create-multiple-ring-buffer-zones"/>
      <w:r>
        <w:t xml:space="preserve">Part 2: Create multiple-ring buffer zones</w:t>
      </w:r>
      <w:bookmarkEnd w:id="27"/>
    </w:p>
    <w:p>
      <w:pPr>
        <w:pStyle w:val="BlockText"/>
      </w:pPr>
      <w:r>
        <w:rPr>
          <w:b/>
        </w:rPr>
        <w:t xml:space="preserve">Public health note:</w:t>
      </w:r>
      <w:r>
        <w:t xml:space="preserve"> </w:t>
      </w:r>
      <w:r>
        <w:t xml:space="preserve">Proximity to a TRI facility is a crude exposure proxy. People closer may have higher potential exposure, but wind direction, facility operating hours, chemical properties, and individual behavior all affect actual exposure. This analysis screens for potential inequity — it does not measure dose.</w:t>
      </w:r>
    </w:p>
    <w:p>
      <w:pPr>
        <w:numPr>
          <w:ilvl w:val="0"/>
          <w:numId w:val="1006"/>
        </w:numPr>
      </w:pPr>
      <w:r>
        <w:t xml:space="preserve">Open the</w:t>
      </w:r>
      <w:r>
        <w:t xml:space="preserve"> </w:t>
      </w:r>
      <w:r>
        <w:rPr>
          <w:b/>
        </w:rPr>
        <w:t xml:space="preserve">Multiple Ring Buffer</w:t>
      </w:r>
      <w:r>
        <w:t xml:space="preserve"> </w:t>
      </w:r>
      <w:r>
        <w:t xml:space="preserve">tool. On the</w:t>
      </w:r>
      <w:r>
        <w:t xml:space="preserve"> </w:t>
      </w:r>
      <w:r>
        <w:rPr>
          <w:b/>
        </w:rPr>
        <w:t xml:space="preserve">Analysis</w:t>
      </w:r>
      <w:r>
        <w:t xml:space="preserve"> </w:t>
      </w:r>
      <w:r>
        <w:t xml:space="preserve">tab, click</w:t>
      </w:r>
      <w:r>
        <w:t xml:space="preserve"> </w:t>
      </w:r>
      <w:r>
        <w:rPr>
          <w:b/>
        </w:rPr>
        <w:t xml:space="preserve">Tools</w:t>
      </w:r>
      <w:r>
        <w:t xml:space="preserve"> </w:t>
      </w:r>
      <w:r>
        <w:t xml:space="preserve">to open the Geoprocessing pane. In the search box, type</w:t>
      </w:r>
      <w:r>
        <w:t xml:space="preserve"> </w:t>
      </w:r>
      <w:r>
        <w:rPr>
          <w:rStyle w:val="VerbatimChar"/>
        </w:rPr>
        <w:t xml:space="preserve">Multiple Ring Buffer</w:t>
      </w:r>
      <w:r>
        <w:t xml:space="preserve"> </w:t>
      </w:r>
      <w:r>
        <w:t xml:space="preserve">and click the tool.</w:t>
      </w:r>
    </w:p>
    <w:p>
      <w:pPr>
        <w:numPr>
          <w:ilvl w:val="0"/>
          <w:numId w:val="1006"/>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Features</w:t>
            </w:r>
          </w:p>
        </w:tc>
        <w:tc>
          <w:p>
            <w:pPr>
              <w:numPr>
                <w:ilvl w:val="0"/>
                <w:numId w:val="1000"/>
              </w:numPr>
              <w:pStyle w:val="Compact"/>
              <w:jc w:val="left"/>
            </w:pPr>
            <w:r>
              <w:rPr>
                <w:rStyle w:val="VerbatimChar"/>
              </w:rPr>
              <w:t xml:space="preserve">phl_TRI_facilities</w:t>
            </w:r>
          </w:p>
        </w:tc>
      </w:tr>
      <w:tr>
        <w:tc>
          <w:p>
            <w:pPr>
              <w:numPr>
                <w:ilvl w:val="0"/>
                <w:numId w:val="1000"/>
              </w:numPr>
              <w:pStyle w:val="Compact"/>
              <w:jc w:val="left"/>
            </w:pPr>
            <w:r>
              <w:t xml:space="preserve">Output Feature class</w:t>
            </w:r>
          </w:p>
        </w:tc>
        <w:tc>
          <w:p>
            <w:pPr>
              <w:numPr>
                <w:ilvl w:val="0"/>
                <w:numId w:val="1000"/>
              </w:numPr>
              <w:pStyle w:val="Compact"/>
              <w:jc w:val="left"/>
            </w:pPr>
            <w:r>
              <w:rPr>
                <w:rStyle w:val="VerbatimChar"/>
              </w:rPr>
              <w:t xml:space="preserve">TRI_rings_3</w:t>
            </w:r>
            <w:r>
              <w:t xml:space="preserve"> </w:t>
            </w:r>
            <w:r>
              <w:t xml:space="preserve">(save to the default geodatabase)</w:t>
            </w:r>
          </w:p>
        </w:tc>
      </w:tr>
      <w:tr>
        <w:tc>
          <w:p>
            <w:pPr>
              <w:numPr>
                <w:ilvl w:val="0"/>
                <w:numId w:val="1000"/>
              </w:numPr>
              <w:pStyle w:val="Compact"/>
              <w:jc w:val="left"/>
            </w:pPr>
            <w:r>
              <w:t xml:space="preserve">Distances</w:t>
            </w:r>
          </w:p>
        </w:tc>
        <w:tc>
          <w:p>
            <w:pPr>
              <w:numPr>
                <w:ilvl w:val="0"/>
                <w:numId w:val="1000"/>
              </w:numPr>
              <w:pStyle w:val="Compact"/>
              <w:jc w:val="left"/>
            </w:pPr>
            <w:r>
              <w:rPr>
                <w:rStyle w:val="VerbatimChar"/>
              </w:rPr>
              <w:t xml:space="preserve">500</w:t>
            </w:r>
            <w:r>
              <w:t xml:space="preserve">;</w:t>
            </w:r>
            <w:r>
              <w:t xml:space="preserve"> </w:t>
            </w:r>
            <w:r>
              <w:rPr>
                <w:rStyle w:val="VerbatimChar"/>
              </w:rPr>
              <w:t xml:space="preserve">1000</w:t>
            </w:r>
            <w:r>
              <w:t xml:space="preserve">;</w:t>
            </w:r>
            <w:r>
              <w:t xml:space="preserve"> </w:t>
            </w:r>
            <w:r>
              <w:rPr>
                <w:rStyle w:val="VerbatimChar"/>
              </w:rPr>
              <w:t xml:space="preserve">2000</w:t>
            </w:r>
          </w:p>
        </w:tc>
      </w:tr>
      <w:tr>
        <w:tc>
          <w:p>
            <w:pPr>
              <w:numPr>
                <w:ilvl w:val="0"/>
                <w:numId w:val="1000"/>
              </w:numPr>
              <w:pStyle w:val="Compact"/>
              <w:jc w:val="left"/>
            </w:pPr>
            <w:r>
              <w:t xml:space="preserve">Buffer Unit</w:t>
            </w:r>
          </w:p>
        </w:tc>
        <w:tc>
          <w:p>
            <w:pPr>
              <w:numPr>
                <w:ilvl w:val="0"/>
                <w:numId w:val="1000"/>
              </w:numPr>
              <w:pStyle w:val="Compact"/>
              <w:jc w:val="left"/>
            </w:pPr>
            <w:r>
              <w:t xml:space="preserve">Meters</w:t>
            </w:r>
          </w:p>
        </w:tc>
      </w:tr>
      <w:tr>
        <w:tc>
          <w:p>
            <w:pPr>
              <w:numPr>
                <w:ilvl w:val="0"/>
                <w:numId w:val="1000"/>
              </w:numPr>
              <w:pStyle w:val="Compact"/>
              <w:jc w:val="left"/>
            </w:pPr>
            <w:r>
              <w:t xml:space="preserve">Field Name</w:t>
            </w:r>
          </w:p>
        </w:tc>
        <w:tc>
          <w:p>
            <w:pPr>
              <w:numPr>
                <w:ilvl w:val="0"/>
                <w:numId w:val="1000"/>
              </w:numPr>
              <w:pStyle w:val="Compact"/>
              <w:jc w:val="left"/>
            </w:pPr>
            <w:r>
              <w:rPr>
                <w:rStyle w:val="VerbatimChar"/>
              </w:rPr>
              <w:t xml:space="preserve">distance</w:t>
            </w:r>
          </w:p>
        </w:tc>
      </w:tr>
      <w:tr>
        <w:tc>
          <w:p>
            <w:pPr>
              <w:numPr>
                <w:ilvl w:val="0"/>
                <w:numId w:val="1000"/>
              </w:numPr>
              <w:pStyle w:val="Compact"/>
              <w:jc w:val="left"/>
            </w:pPr>
            <w:r>
              <w:t xml:space="preserve">Dissolve Option</w:t>
            </w:r>
          </w:p>
        </w:tc>
        <w:tc>
          <w:p>
            <w:pPr>
              <w:numPr>
                <w:ilvl w:val="0"/>
                <w:numId w:val="1000"/>
              </w:numPr>
              <w:pStyle w:val="Compact"/>
              <w:jc w:val="left"/>
            </w:pPr>
            <w:r>
              <w:t xml:space="preserve">All</w:t>
            </w:r>
          </w:p>
        </w:tc>
      </w:tr>
      <w:tr>
        <w:tc>
          <w:p>
            <w:pPr>
              <w:numPr>
                <w:ilvl w:val="0"/>
                <w:numId w:val="1000"/>
              </w:numPr>
              <w:pStyle w:val="Compact"/>
              <w:jc w:val="left"/>
            </w:pPr>
            <w:r>
              <w:t xml:space="preserve">Outside Polygons Only</w:t>
            </w:r>
          </w:p>
        </w:tc>
        <w:tc>
          <w:p>
            <w:pPr>
              <w:numPr>
                <w:ilvl w:val="0"/>
                <w:numId w:val="1000"/>
              </w:numPr>
              <w:pStyle w:val="Compact"/>
              <w:jc w:val="left"/>
            </w:pPr>
            <w:r>
              <w:t xml:space="preserve">Unchecked (keep full rings for area calculation)</w:t>
            </w:r>
          </w:p>
        </w:tc>
      </w:tr>
    </w:tbl>
    <w:p>
      <w:pPr>
        <w:numPr>
          <w:ilvl w:val="0"/>
          <w:numId w:val="1006"/>
        </w:numPr>
      </w:pPr>
      <w:r>
        <w:t xml:space="preserve">Click</w:t>
      </w:r>
      <w:r>
        <w:t xml:space="preserve"> </w:t>
      </w:r>
      <w:r>
        <w:rPr>
          <w:b/>
        </w:rPr>
        <w:t xml:space="preserve">Run</w:t>
      </w:r>
      <w:r>
        <w:t xml:space="preserve">. Three concentric rings appear: 0–500 m, 500–1000 m, and 1000–2000 m around the merged extent of all TRI facilities.</w:t>
      </w:r>
    </w:p>
    <w:p>
      <w:pPr>
        <w:pStyle w:val="FirstParagraph"/>
      </w:pPr>
      <w:r>
        <w:rPr>
          <w:i/>
        </w:rPr>
        <w:t xml:space="preserve">[Figure: Three concentric buffer rings over the Philadelphia basemap, colored by ring distance]</w:t>
      </w:r>
    </w:p>
    <w:p>
      <w:pPr>
        <w:numPr>
          <w:ilvl w:val="0"/>
          <w:numId w:val="1007"/>
        </w:numPr>
        <w:pStyle w:val="Compact"/>
      </w:pPr>
      <w:r>
        <w:t xml:space="preserve">Open the attribute table for</w:t>
      </w:r>
      <w:r>
        <w:t xml:space="preserve"> </w:t>
      </w:r>
      <w:r>
        <w:rPr>
          <w:rStyle w:val="VerbatimChar"/>
        </w:rPr>
        <w:t xml:space="preserve">TRI_rings_3</w:t>
      </w:r>
      <w:r>
        <w:t xml:space="preserve">. You should see three rows, one per ring, with values 500, 1000, and 2000 in the</w:t>
      </w:r>
      <w:r>
        <w:t xml:space="preserve"> </w:t>
      </w:r>
      <w:r>
        <w:rPr>
          <w:rStyle w:val="VerbatimChar"/>
        </w:rPr>
        <w:t xml:space="preserve">distance</w:t>
      </w:r>
      <w:r>
        <w:t xml:space="preserve"> </w:t>
      </w:r>
      <w:r>
        <w:t xml:space="preserve">field. If you see more rows, the Dissolve option was not set correctly — re-run with</w:t>
      </w:r>
      <w:r>
        <w:t xml:space="preserve"> </w:t>
      </w:r>
      <w:r>
        <w:rPr>
          <w:b/>
        </w:rPr>
        <w:t xml:space="preserve">Dissolve Option</w:t>
      </w:r>
      <w:r>
        <w:t xml:space="preserve"> </w:t>
      </w:r>
      <w:r>
        <w:t xml:space="preserve">set to</w:t>
      </w:r>
      <w:r>
        <w:t xml:space="preserve"> </w:t>
      </w:r>
      <w:r>
        <w:rPr>
          <w:b/>
        </w:rPr>
        <w:t xml:space="preserve">All</w:t>
      </w:r>
      <w:r>
        <w:t xml:space="preserve">.</w:t>
      </w:r>
    </w:p>
    <w:p>
      <w:pPr>
        <w:pStyle w:val="BlockText"/>
      </w:pPr>
      <w:r>
        <w:rPr>
          <w:b/>
        </w:rPr>
        <w:t xml:space="preserve">Note:</w:t>
      </w:r>
      <w:r>
        <w:t xml:space="preserve"> </w:t>
      </w:r>
      <w:r>
        <w:t xml:space="preserve">The</w:t>
      </w:r>
      <w:r>
        <w:t xml:space="preserve"> </w:t>
      </w:r>
      <w:r>
        <w:rPr>
          <w:b/>
        </w:rPr>
        <w:t xml:space="preserve">Multiple Ring Buffer</w:t>
      </w:r>
      <w:r>
        <w:t xml:space="preserve"> </w:t>
      </w:r>
      <w:r>
        <w:t xml:space="preserve">tool creates rings that are nested (each ring includes the area of all smaller rings). The</w:t>
      </w:r>
      <w:r>
        <w:t xml:space="preserve"> </w:t>
      </w:r>
      <w:r>
        <w:rPr>
          <w:b/>
        </w:rPr>
        <w:t xml:space="preserve">Outside Polygons Only</w:t>
      </w:r>
      <w:r>
        <w:t xml:space="preserve"> </w:t>
      </w:r>
      <w:r>
        <w:t xml:space="preserve">option would create true donuts. For this lab, keep the nested rings because the Intersect step (Part 3) will split them against block groups, letting you assign each block-group fragment to its innermost ring.</w:t>
      </w:r>
    </w:p>
    <w:p>
      <w:r>
        <w:pict>
          <v:rect style="width:0;height:1.5pt" o:hralign="center" o:hrstd="t" o:hr="t"/>
        </w:pict>
      </w:r>
    </w:p>
    <w:p>
      <w:pPr>
        <w:pStyle w:val="Heading2"/>
      </w:pPr>
      <w:bookmarkStart w:id="28" w:name="X28973d38f891af3cf8d4a7bcde22c654ef2a0f3"/>
      <w:r>
        <w:t xml:space="preserve">Part 3: Intersect buffer rings with block groups</w:t>
      </w:r>
      <w:bookmarkEnd w:id="28"/>
    </w:p>
    <w:p>
      <w:pPr>
        <w:pStyle w:val="FirstParagraph"/>
      </w:pPr>
      <w:r>
        <w:t xml:space="preserve">The Intersect overlay clips the block-group layer to each ring and retains the</w:t>
      </w:r>
      <w:r>
        <w:t xml:space="preserve"> </w:t>
      </w:r>
      <w:r>
        <w:rPr>
          <w:rStyle w:val="VerbatimChar"/>
        </w:rPr>
        <w:t xml:space="preserve">distance</w:t>
      </w:r>
      <w:r>
        <w:t xml:space="preserve"> </w:t>
      </w:r>
      <w:r>
        <w:t xml:space="preserve">field so you know which ring each fragment belongs to.</w:t>
      </w:r>
    </w:p>
    <w:p>
      <w:pPr>
        <w:numPr>
          <w:ilvl w:val="0"/>
          <w:numId w:val="1008"/>
        </w:numPr>
      </w:pPr>
      <w:r>
        <w:t xml:space="preserve">Open the</w:t>
      </w:r>
      <w:r>
        <w:t xml:space="preserve"> </w:t>
      </w:r>
      <w:r>
        <w:rPr>
          <w:b/>
        </w:rPr>
        <w:t xml:space="preserve">Intersect</w:t>
      </w:r>
      <w:r>
        <w:t xml:space="preserve"> </w:t>
      </w:r>
      <w:r>
        <w:t xml:space="preserve">tool (search Geoprocessing pane:</w:t>
      </w:r>
      <w:r>
        <w:t xml:space="preserve"> </w:t>
      </w:r>
      <w:r>
        <w:rPr>
          <w:rStyle w:val="VerbatimChar"/>
        </w:rPr>
        <w:t xml:space="preserve">Intersect</w:t>
      </w:r>
      <w:r>
        <w:t xml:space="preserve">).</w:t>
      </w:r>
    </w:p>
    <w:p>
      <w:pPr>
        <w:numPr>
          <w:ilvl w:val="0"/>
          <w:numId w:val="1008"/>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Features</w:t>
            </w:r>
          </w:p>
        </w:tc>
        <w:tc>
          <w:p>
            <w:pPr>
              <w:numPr>
                <w:ilvl w:val="0"/>
                <w:numId w:val="1000"/>
              </w:numPr>
              <w:pStyle w:val="Compact"/>
              <w:jc w:val="left"/>
            </w:pPr>
            <w:r>
              <w:rPr>
                <w:rStyle w:val="VerbatimChar"/>
              </w:rPr>
              <w:t xml:space="preserve">TRI_rings_3</w:t>
            </w:r>
            <w:r>
              <w:t xml:space="preserve">;</w:t>
            </w:r>
            <w:r>
              <w:t xml:space="preserve"> </w:t>
            </w:r>
            <w:r>
              <w:rPr>
                <w:rStyle w:val="VerbatimChar"/>
              </w:rPr>
              <w:t xml:space="preserve">phl_blockgroups_acs</w:t>
            </w:r>
          </w:p>
        </w:tc>
      </w:tr>
      <w:tr>
        <w:tc>
          <w:p>
            <w:pPr>
              <w:numPr>
                <w:ilvl w:val="0"/>
                <w:numId w:val="1000"/>
              </w:numPr>
              <w:pStyle w:val="Compact"/>
              <w:jc w:val="left"/>
            </w:pPr>
            <w:r>
              <w:t xml:space="preserve">Output Feature Class</w:t>
            </w:r>
          </w:p>
        </w:tc>
        <w:tc>
          <w:p>
            <w:pPr>
              <w:numPr>
                <w:ilvl w:val="0"/>
                <w:numId w:val="1000"/>
              </w:numPr>
              <w:pStyle w:val="Compact"/>
              <w:jc w:val="left"/>
            </w:pPr>
            <w:r>
              <w:rPr>
                <w:rStyle w:val="VerbatimChar"/>
              </w:rPr>
              <w:t xml:space="preserve">BG_intersect_rings</w:t>
            </w:r>
          </w:p>
        </w:tc>
      </w:tr>
      <w:tr>
        <w:tc>
          <w:p>
            <w:pPr>
              <w:numPr>
                <w:ilvl w:val="0"/>
                <w:numId w:val="1000"/>
              </w:numPr>
              <w:pStyle w:val="Compact"/>
              <w:jc w:val="left"/>
            </w:pPr>
            <w:r>
              <w:t xml:space="preserve">Join Attributes</w:t>
            </w:r>
          </w:p>
        </w:tc>
        <w:tc>
          <w:p>
            <w:pPr>
              <w:numPr>
                <w:ilvl w:val="0"/>
                <w:numId w:val="1000"/>
              </w:numPr>
              <w:pStyle w:val="Compact"/>
              <w:jc w:val="left"/>
            </w:pPr>
            <w:r>
              <w:t xml:space="preserve">All</w:t>
            </w:r>
          </w:p>
        </w:tc>
      </w:tr>
      <w:tr>
        <w:tc>
          <w:p>
            <w:pPr>
              <w:numPr>
                <w:ilvl w:val="0"/>
                <w:numId w:val="1000"/>
              </w:numPr>
              <w:pStyle w:val="Compact"/>
              <w:jc w:val="left"/>
            </w:pPr>
            <w:r>
              <w:t xml:space="preserve">Output Type</w:t>
            </w:r>
          </w:p>
        </w:tc>
        <w:tc>
          <w:p>
            <w:pPr>
              <w:numPr>
                <w:ilvl w:val="0"/>
                <w:numId w:val="1000"/>
              </w:numPr>
              <w:pStyle w:val="Compact"/>
              <w:jc w:val="left"/>
            </w:pPr>
            <w:r>
              <w:t xml:space="preserve">Input (polygon)</w:t>
            </w:r>
          </w:p>
        </w:tc>
      </w:tr>
    </w:tbl>
    <w:p>
      <w:pPr>
        <w:numPr>
          <w:ilvl w:val="0"/>
          <w:numId w:val="1008"/>
        </w:numPr>
      </w:pPr>
      <w:r>
        <w:t xml:space="preserve">Click</w:t>
      </w:r>
      <w:r>
        <w:t xml:space="preserve"> </w:t>
      </w:r>
      <w:r>
        <w:rPr>
          <w:b/>
        </w:rPr>
        <w:t xml:space="preserve">Run</w:t>
      </w:r>
      <w:r>
        <w:t xml:space="preserve">. The output is a polygon layer where each feature is the portion of one block group that falls inside one buffer ring.</w:t>
      </w:r>
    </w:p>
    <w:p>
      <w:pPr>
        <w:pStyle w:val="FirstParagraph"/>
      </w:pPr>
      <w:r>
        <w:rPr>
          <w:i/>
        </w:rPr>
        <w:t xml:space="preserve">[Figure: Block group fragments clipped to the three buffer rings, with ring distance values visible in the attribute table]</w:t>
      </w:r>
    </w:p>
    <w:p>
      <w:pPr>
        <w:numPr>
          <w:ilvl w:val="0"/>
          <w:numId w:val="1009"/>
        </w:numPr>
        <w:pStyle w:val="Compact"/>
      </w:pPr>
      <w:r>
        <w:t xml:space="preserve">Open the attribute table for</w:t>
      </w:r>
      <w:r>
        <w:t xml:space="preserve"> </w:t>
      </w:r>
      <w:r>
        <w:rPr>
          <w:rStyle w:val="VerbatimChar"/>
        </w:rPr>
        <w:t xml:space="preserve">BG_intersect_rings</w:t>
      </w:r>
      <w:r>
        <w:t xml:space="preserve">. Confirm that the</w:t>
      </w:r>
      <w:r>
        <w:t xml:space="preserve"> </w:t>
      </w:r>
      <w:r>
        <w:rPr>
          <w:rStyle w:val="VerbatimChar"/>
        </w:rPr>
        <w:t xml:space="preserve">distance</w:t>
      </w:r>
      <w:r>
        <w:t xml:space="preserve">,</w:t>
      </w:r>
      <w:r>
        <w:t xml:space="preserve"> </w:t>
      </w:r>
      <w:r>
        <w:rPr>
          <w:rStyle w:val="VerbatimChar"/>
        </w:rPr>
        <w:t xml:space="preserve">GEOID</w:t>
      </w:r>
      <w:r>
        <w:t xml:space="preserve">,</w:t>
      </w:r>
      <w:r>
        <w:t xml:space="preserve"> </w:t>
      </w:r>
      <w:r>
        <w:rPr>
          <w:rStyle w:val="VerbatimChar"/>
        </w:rPr>
        <w:t xml:space="preserve">TOTPOP</w:t>
      </w:r>
      <w:r>
        <w:t xml:space="preserve">,</w:t>
      </w:r>
      <w:r>
        <w:t xml:space="preserve"> </w:t>
      </w:r>
      <w:r>
        <w:rPr>
          <w:rStyle w:val="VerbatimChar"/>
        </w:rPr>
        <w:t xml:space="preserve">NH_WHITE</w:t>
      </w:r>
      <w:r>
        <w:t xml:space="preserve">,</w:t>
      </w:r>
      <w:r>
        <w:t xml:space="preserve"> </w:t>
      </w:r>
      <w:r>
        <w:rPr>
          <w:rStyle w:val="VerbatimChar"/>
        </w:rPr>
        <w:t xml:space="preserve">NH_BLACK</w:t>
      </w:r>
      <w:r>
        <w:t xml:space="preserve">,</w:t>
      </w:r>
      <w:r>
        <w:t xml:space="preserve"> </w:t>
      </w:r>
      <w:r>
        <w:rPr>
          <w:rStyle w:val="VerbatimChar"/>
        </w:rPr>
        <w:t xml:space="preserve">HISPANIC</w:t>
      </w:r>
      <w:r>
        <w:t xml:space="preserve">, and</w:t>
      </w:r>
      <w:r>
        <w:t xml:space="preserve"> </w:t>
      </w:r>
      <w:r>
        <w:rPr>
          <w:rStyle w:val="VerbatimChar"/>
        </w:rPr>
        <w:t xml:space="preserve">AREASQM</w:t>
      </w:r>
      <w:r>
        <w:t xml:space="preserve"> </w:t>
      </w:r>
      <w:r>
        <w:t xml:space="preserve">fields are all present. Each row represents one block-group/ring intersection fragment.</w:t>
      </w:r>
    </w:p>
    <w:p>
      <w:r>
        <w:pict>
          <v:rect style="width:0;height:1.5pt" o:hralign="center" o:hrstd="t" o:hr="t"/>
        </w:pict>
      </w:r>
    </w:p>
    <w:p>
      <w:pPr>
        <w:pStyle w:val="Heading2"/>
      </w:pPr>
      <w:bookmarkStart w:id="29" w:name="X63e0b4f7e7d50972e1784d13d80e97113b4e165"/>
      <w:r>
        <w:t xml:space="preserve">Part 4: Areal weighting — apportion population to each ring fragment</w:t>
      </w:r>
      <w:bookmarkEnd w:id="29"/>
    </w:p>
    <w:p>
      <w:pPr>
        <w:pStyle w:val="FirstParagraph"/>
      </w:pPr>
      <w:r>
        <w:t xml:space="preserve">Block groups cross ring boundaries. You cannot assign an entire block group’s population to a ring that only covers part of it.</w:t>
      </w:r>
      <w:r>
        <w:t xml:space="preserve"> </w:t>
      </w:r>
      <w:r>
        <w:rPr>
          <w:b/>
        </w:rPr>
        <w:t xml:space="preserve">Areal weighting</w:t>
      </w:r>
      <w:r>
        <w:t xml:space="preserve"> </w:t>
      </w:r>
      <w:r>
        <w:t xml:space="preserve">assumes population is distributed uniformly within a block group and apportions population by the share of the block group’s area that falls inside the ring fragment.</w:t>
      </w:r>
    </w:p>
    <w:p>
      <w:pPr>
        <w:pStyle w:val="BlockText"/>
      </w:pPr>
      <w:r>
        <w:rPr>
          <w:b/>
        </w:rPr>
        <w:t xml:space="preserve">Public health note:</w:t>
      </w:r>
      <w:r>
        <w:t xml:space="preserve"> </w:t>
      </w:r>
      <w:r>
        <w:t xml:space="preserve">The areal-weighting assumption — that population is evenly distributed within a block group — is almost never literally true. Dense housing at the block-group edge gets the same weight as a park in the center. This is called the</w:t>
      </w:r>
      <w:r>
        <w:t xml:space="preserve"> </w:t>
      </w:r>
      <w:r>
        <w:rPr>
          <w:b/>
        </w:rPr>
        <w:t xml:space="preserve">Modifiable Areal Unit Problem (MAUP)</w:t>
      </w:r>
      <w:r>
        <w:t xml:space="preserve">: results depend on how zone boundaries are drawn. Use block groups rather than tracts when possible (smaller zones reduce error), and treat apportioned totals as estimates, not census counts. There is no exposure measurement here — only residential proximity.</w:t>
      </w:r>
    </w:p>
    <w:p>
      <w:pPr>
        <w:pStyle w:val="FirstParagraph"/>
      </w:pPr>
      <w:r>
        <w:rPr>
          <w:b/>
        </w:rPr>
        <w:t xml:space="preserve">Step A — Recalculate fragment area</w:t>
      </w:r>
    </w:p>
    <w:p>
      <w:pPr>
        <w:pStyle w:val="BodyText"/>
      </w:pPr>
      <w:r>
        <w:t xml:space="preserve">The intersect operation may retain the original</w:t>
      </w:r>
      <w:r>
        <w:t xml:space="preserve"> </w:t>
      </w:r>
      <w:r>
        <w:rPr>
          <w:rStyle w:val="VerbatimChar"/>
        </w:rPr>
        <w:t xml:space="preserve">AREASQM</w:t>
      </w:r>
      <w:r>
        <w:t xml:space="preserve"> </w:t>
      </w:r>
      <w:r>
        <w:t xml:space="preserve">value from the source block group, not the fragment area. You need the fragment’s actual area.</w:t>
      </w:r>
    </w:p>
    <w:p>
      <w:pPr>
        <w:numPr>
          <w:ilvl w:val="0"/>
          <w:numId w:val="1010"/>
        </w:numPr>
      </w:pPr>
      <w:r>
        <w:t xml:space="preserve">Open the attribute table for</w:t>
      </w:r>
      <w:r>
        <w:t xml:space="preserve"> </w:t>
      </w:r>
      <w:r>
        <w:rPr>
          <w:rStyle w:val="VerbatimChar"/>
        </w:rPr>
        <w:t xml:space="preserve">BG_intersect_rings</w:t>
      </w:r>
      <w:r>
        <w:t xml:space="preserve">. Click</w:t>
      </w:r>
      <w:r>
        <w:t xml:space="preserve"> </w:t>
      </w:r>
      <w:r>
        <w:rPr>
          <w:b/>
        </w:rPr>
        <w:t xml:space="preserve">Add Field</w:t>
      </w:r>
      <w:r>
        <w:t xml:space="preserve"> </w:t>
      </w:r>
      <w:r>
        <w:t xml:space="preserve">(top of the table). Name the new field</w:t>
      </w:r>
      <w:r>
        <w:t xml:space="preserve"> </w:t>
      </w:r>
      <w:r>
        <w:rPr>
          <w:rStyle w:val="VerbatimChar"/>
        </w:rPr>
        <w:t xml:space="preserve">FRAG_SQMT</w:t>
      </w:r>
      <w:r>
        <w:t xml:space="preserve">, type</w:t>
      </w:r>
      <w:r>
        <w:t xml:space="preserve"> </w:t>
      </w:r>
      <w:r>
        <w:rPr>
          <w:b/>
        </w:rPr>
        <w:t xml:space="preserve">Double</w:t>
      </w:r>
      <w:r>
        <w:t xml:space="preserve">. Save and close Fields view.</w:t>
      </w:r>
    </w:p>
    <w:p>
      <w:pPr>
        <w:numPr>
          <w:ilvl w:val="0"/>
          <w:numId w:val="1010"/>
        </w:numPr>
      </w:pPr>
      <w:r>
        <w:t xml:space="preserve">Right-click the</w:t>
      </w:r>
      <w:r>
        <w:t xml:space="preserve"> </w:t>
      </w:r>
      <w:r>
        <w:rPr>
          <w:rStyle w:val="VerbatimChar"/>
        </w:rPr>
        <w:t xml:space="preserve">FRAG_SQMT</w:t>
      </w:r>
      <w:r>
        <w:t xml:space="preserve"> </w:t>
      </w:r>
      <w:r>
        <w:t xml:space="preserve">column heading and choose</w:t>
      </w:r>
      <w:r>
        <w:t xml:space="preserve"> </w:t>
      </w:r>
      <w:r>
        <w:rPr>
          <w:b/>
        </w:rPr>
        <w:t xml:space="preserve">Calculate Geometry</w:t>
      </w:r>
      <w:r>
        <w:t xml:space="preserve">.</w:t>
      </w:r>
    </w:p>
    <w:p>
      <w:pPr>
        <w:numPr>
          <w:ilvl w:val="0"/>
          <w:numId w:val="1010"/>
        </w:numPr>
      </w:pPr>
      <w:r>
        <w:t xml:space="preserve">In the</w:t>
      </w:r>
      <w:r>
        <w:t xml:space="preserve"> </w:t>
      </w:r>
      <w:r>
        <w:rPr>
          <w:b/>
        </w:rPr>
        <w:t xml:space="preserve">Calculate Geometry</w:t>
      </w:r>
      <w:r>
        <w:t xml:space="preserve"> </w:t>
      </w:r>
      <w:r>
        <w:t xml:space="preserve">dialog:</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Target Field</w:t>
            </w:r>
          </w:p>
        </w:tc>
        <w:tc>
          <w:p>
            <w:pPr>
              <w:numPr>
                <w:ilvl w:val="0"/>
                <w:numId w:val="1000"/>
              </w:numPr>
              <w:pStyle w:val="Compact"/>
              <w:jc w:val="left"/>
            </w:pPr>
            <w:r>
              <w:rPr>
                <w:rStyle w:val="VerbatimChar"/>
              </w:rPr>
              <w:t xml:space="preserve">FRAG_SQMT</w:t>
            </w:r>
          </w:p>
        </w:tc>
      </w:tr>
      <w:tr>
        <w:tc>
          <w:p>
            <w:pPr>
              <w:numPr>
                <w:ilvl w:val="0"/>
                <w:numId w:val="1000"/>
              </w:numPr>
              <w:pStyle w:val="Compact"/>
              <w:jc w:val="left"/>
            </w:pPr>
            <w:r>
              <w:t xml:space="preserve">Property</w:t>
            </w:r>
          </w:p>
        </w:tc>
        <w:tc>
          <w:p>
            <w:pPr>
              <w:numPr>
                <w:ilvl w:val="0"/>
                <w:numId w:val="1000"/>
              </w:numPr>
              <w:pStyle w:val="Compact"/>
              <w:jc w:val="left"/>
            </w:pPr>
            <w:r>
              <w:t xml:space="preserve">Area</w:t>
            </w:r>
          </w:p>
        </w:tc>
      </w:tr>
      <w:tr>
        <w:tc>
          <w:p>
            <w:pPr>
              <w:numPr>
                <w:ilvl w:val="0"/>
                <w:numId w:val="1000"/>
              </w:numPr>
              <w:pStyle w:val="Compact"/>
              <w:jc w:val="left"/>
            </w:pPr>
            <w:r>
              <w:t xml:space="preserve">Area Unit</w:t>
            </w:r>
          </w:p>
        </w:tc>
        <w:tc>
          <w:p>
            <w:pPr>
              <w:numPr>
                <w:ilvl w:val="0"/>
                <w:numId w:val="1000"/>
              </w:numPr>
              <w:pStyle w:val="Compact"/>
              <w:jc w:val="left"/>
            </w:pPr>
            <w:r>
              <w:t xml:space="preserve">Square Meters</w:t>
            </w:r>
          </w:p>
        </w:tc>
      </w:tr>
      <w:tr>
        <w:tc>
          <w:p>
            <w:pPr>
              <w:numPr>
                <w:ilvl w:val="0"/>
                <w:numId w:val="1000"/>
              </w:numPr>
              <w:pStyle w:val="Compact"/>
              <w:jc w:val="left"/>
            </w:pPr>
            <w:r>
              <w:t xml:space="preserve">Coordinate System</w:t>
            </w:r>
          </w:p>
        </w:tc>
        <w:tc>
          <w:p>
            <w:pPr>
              <w:numPr>
                <w:ilvl w:val="0"/>
                <w:numId w:val="1000"/>
              </w:numPr>
              <w:pStyle w:val="Compact"/>
              <w:jc w:val="left"/>
            </w:pPr>
            <w:r>
              <w:t xml:space="preserve">Same as the input (NAD 1983 UTM Zone 18N)</w:t>
            </w:r>
          </w:p>
        </w:tc>
      </w:tr>
    </w:tbl>
    <w:p>
      <w:pPr>
        <w:numPr>
          <w:ilvl w:val="0"/>
          <w:numId w:val="1010"/>
        </w:numPr>
      </w:pPr>
      <w:r>
        <w:t xml:space="preserve">Click</w:t>
      </w:r>
      <w:r>
        <w:t xml:space="preserve"> </w:t>
      </w:r>
      <w:r>
        <w:rPr>
          <w:b/>
        </w:rPr>
        <w:t xml:space="preserve">OK</w:t>
      </w:r>
      <w:r>
        <w:t xml:space="preserve">. Each row now holds the area of that ring fragment in square meters.</w:t>
      </w:r>
    </w:p>
    <w:p>
      <w:pPr>
        <w:pStyle w:val="FirstParagraph"/>
      </w:pPr>
      <w:r>
        <w:rPr>
          <w:b/>
        </w:rPr>
        <w:t xml:space="preserve">Step B — Calculate the area fraction</w:t>
      </w:r>
    </w:p>
    <w:p>
      <w:pPr>
        <w:numPr>
          <w:ilvl w:val="0"/>
          <w:numId w:val="1011"/>
        </w:numPr>
      </w:pPr>
      <w:r>
        <w:t xml:space="preserve">Add another field named</w:t>
      </w:r>
      <w:r>
        <w:t xml:space="preserve"> </w:t>
      </w:r>
      <w:r>
        <w:rPr>
          <w:rStyle w:val="VerbatimChar"/>
        </w:rPr>
        <w:t xml:space="preserve">AREA_FRAC</w:t>
      </w:r>
      <w:r>
        <w:t xml:space="preserve">, type</w:t>
      </w:r>
      <w:r>
        <w:t xml:space="preserve"> </w:t>
      </w:r>
      <w:r>
        <w:rPr>
          <w:b/>
        </w:rPr>
        <w:t xml:space="preserve">Double</w:t>
      </w:r>
      <w:r>
        <w:t xml:space="preserve">.</w:t>
      </w:r>
    </w:p>
    <w:p>
      <w:pPr>
        <w:numPr>
          <w:ilvl w:val="0"/>
          <w:numId w:val="1011"/>
        </w:numPr>
      </w:pPr>
      <w:r>
        <w:t xml:space="preserve">Open the</w:t>
      </w:r>
      <w:r>
        <w:t xml:space="preserve"> </w:t>
      </w:r>
      <w:r>
        <w:rPr>
          <w:b/>
        </w:rPr>
        <w:t xml:space="preserve">Field Calculator</w:t>
      </w:r>
      <w:r>
        <w:t xml:space="preserve"> </w:t>
      </w:r>
      <w:r>
        <w:t xml:space="preserve">(right-click column heading →</w:t>
      </w:r>
      <w:r>
        <w:t xml:space="preserve"> </w:t>
      </w:r>
      <w:r>
        <w:rPr>
          <w:b/>
        </w:rPr>
        <w:t xml:space="preserve">Calculate Field</w:t>
      </w:r>
      <w:r>
        <w:t xml:space="preserve">). Set the expression to:</w:t>
      </w:r>
    </w:p>
    <w:p>
      <w:pPr>
        <w:numPr>
          <w:ilvl w:val="0"/>
          <w:numId w:val="1000"/>
        </w:numPr>
        <w:pStyle w:val="SourceCode"/>
      </w:pPr>
      <w:r>
        <w:rPr>
          <w:rStyle w:val="VerbatimChar"/>
        </w:rPr>
        <w:t xml:space="preserve">!FRAG_SQMT! / !AREASQM!</w:t>
      </w:r>
    </w:p>
    <w:p>
      <w:pPr>
        <w:numPr>
          <w:ilvl w:val="0"/>
          <w:numId w:val="1000"/>
        </w:numPr>
      </w:pPr>
      <w:r>
        <w:t xml:space="preserve">This gives the fraction of the original block group that fell inside the ring (a value between 0 and 1). Click</w:t>
      </w:r>
      <w:r>
        <w:t xml:space="preserve"> </w:t>
      </w:r>
      <w:r>
        <w:rPr>
          <w:b/>
        </w:rPr>
        <w:t xml:space="preserve">OK</w:t>
      </w:r>
      <w:r>
        <w:t xml:space="preserve">.</w:t>
      </w:r>
    </w:p>
    <w:p>
      <w:pPr>
        <w:pStyle w:val="BlockText"/>
      </w:pPr>
      <w:r>
        <w:rPr>
          <w:b/>
        </w:rPr>
        <w:t xml:space="preserve">Note:</w:t>
      </w:r>
      <w:r>
        <w:t xml:space="preserve"> </w:t>
      </w:r>
      <w:r>
        <w:t xml:space="preserve">If any</w:t>
      </w:r>
      <w:r>
        <w:t xml:space="preserve"> </w:t>
      </w:r>
      <w:r>
        <w:rPr>
          <w:rStyle w:val="VerbatimChar"/>
        </w:rPr>
        <w:t xml:space="preserve">AREA_FRAC</w:t>
      </w:r>
      <w:r>
        <w:t xml:space="preserve"> </w:t>
      </w:r>
      <w:r>
        <w:t xml:space="preserve">values exceed 1.0, the source</w:t>
      </w:r>
      <w:r>
        <w:t xml:space="preserve"> </w:t>
      </w:r>
      <w:r>
        <w:rPr>
          <w:rStyle w:val="VerbatimChar"/>
        </w:rPr>
        <w:t xml:space="preserve">AREASQM</w:t>
      </w:r>
      <w:r>
        <w:t xml:space="preserve"> </w:t>
      </w:r>
      <w:r>
        <w:t xml:space="preserve">field may have been in different units or may be stale. Recalculate</w:t>
      </w:r>
      <w:r>
        <w:t xml:space="preserve"> </w:t>
      </w:r>
      <w:r>
        <w:rPr>
          <w:rStyle w:val="VerbatimChar"/>
        </w:rPr>
        <w:t xml:space="preserve">AREASQM</w:t>
      </w:r>
      <w:r>
        <w:t xml:space="preserve"> </w:t>
      </w:r>
      <w:r>
        <w:t xml:space="preserve">on the original</w:t>
      </w:r>
      <w:r>
        <w:t xml:space="preserve"> </w:t>
      </w:r>
      <w:r>
        <w:rPr>
          <w:rStyle w:val="VerbatimChar"/>
        </w:rPr>
        <w:t xml:space="preserve">phl_blockgroups_acs</w:t>
      </w:r>
      <w:r>
        <w:t xml:space="preserve"> </w:t>
      </w:r>
      <w:r>
        <w:t xml:space="preserve">layer using</w:t>
      </w:r>
      <w:r>
        <w:t xml:space="preserve"> </w:t>
      </w:r>
      <w:r>
        <w:rPr>
          <w:b/>
        </w:rPr>
        <w:t xml:space="preserve">Calculate Geometry</w:t>
      </w:r>
      <w:r>
        <w:t xml:space="preserve"> </w:t>
      </w:r>
      <w:r>
        <w:t xml:space="preserve">(square meters), re-run the Intersect, and redo Steps A–B.</w:t>
      </w:r>
    </w:p>
    <w:p>
      <w:pPr>
        <w:pStyle w:val="FirstParagraph"/>
      </w:pPr>
      <w:r>
        <w:rPr>
          <w:b/>
        </w:rPr>
        <w:t xml:space="preserve">Step C — Apportion population fields</w:t>
      </w:r>
    </w:p>
    <w:p>
      <w:pPr>
        <w:numPr>
          <w:ilvl w:val="0"/>
          <w:numId w:val="1012"/>
        </w:numPr>
      </w:pPr>
      <w:r>
        <w:t xml:space="preserve">Add fields for apportioned counts. Add four new</w:t>
      </w:r>
      <w:r>
        <w:t xml:space="preserve"> </w:t>
      </w:r>
      <w:r>
        <w:rPr>
          <w:b/>
        </w:rPr>
        <w:t xml:space="preserve">Double</w:t>
      </w:r>
      <w:r>
        <w:t xml:space="preserve"> </w:t>
      </w:r>
      <w:r>
        <w:t xml:space="preserve">fields:</w:t>
      </w:r>
      <w:r>
        <w:t xml:space="preserve"> </w:t>
      </w:r>
      <w:r>
        <w:rPr>
          <w:rStyle w:val="VerbatimChar"/>
        </w:rPr>
        <w:t xml:space="preserve">EST_TOTPOP</w:t>
      </w:r>
      <w:r>
        <w:t xml:space="preserve">,</w:t>
      </w:r>
      <w:r>
        <w:t xml:space="preserve"> </w:t>
      </w:r>
      <w:r>
        <w:rPr>
          <w:rStyle w:val="VerbatimChar"/>
        </w:rPr>
        <w:t xml:space="preserve">EST_WHITE</w:t>
      </w:r>
      <w:r>
        <w:t xml:space="preserve">,</w:t>
      </w:r>
      <w:r>
        <w:t xml:space="preserve"> </w:t>
      </w:r>
      <w:r>
        <w:rPr>
          <w:rStyle w:val="VerbatimChar"/>
        </w:rPr>
        <w:t xml:space="preserve">EST_BLACK</w:t>
      </w:r>
      <w:r>
        <w:t xml:space="preserve">,</w:t>
      </w:r>
      <w:r>
        <w:t xml:space="preserve"> </w:t>
      </w:r>
      <w:r>
        <w:rPr>
          <w:rStyle w:val="VerbatimChar"/>
        </w:rPr>
        <w:t xml:space="preserve">EST_HISP</w:t>
      </w:r>
      <w:r>
        <w:t xml:space="preserve">.</w:t>
      </w:r>
    </w:p>
    <w:p>
      <w:pPr>
        <w:numPr>
          <w:ilvl w:val="0"/>
          <w:numId w:val="1012"/>
        </w:numPr>
      </w:pPr>
      <w:r>
        <w:t xml:space="preserve">For each field, use the</w:t>
      </w:r>
      <w:r>
        <w:t xml:space="preserve"> </w:t>
      </w:r>
      <w:r>
        <w:rPr>
          <w:b/>
        </w:rPr>
        <w:t xml:space="preserve">Field Calculator</w:t>
      </w:r>
      <w:r>
        <w:t xml:space="preserve"> </w:t>
      </w:r>
      <w:r>
        <w:t xml:space="preserve">with the expressions below:</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New field</w:t>
            </w:r>
          </w:p>
        </w:tc>
        <w:tc>
          <w:tcPr>
            <w:tcBorders>
              <w:bottom w:val="single"/>
            </w:tcBorders>
            <w:vAlign w:val="bottom"/>
          </w:tcPr>
          <w:p>
            <w:pPr>
              <w:numPr>
                <w:ilvl w:val="0"/>
                <w:numId w:val="1000"/>
              </w:numPr>
              <w:pStyle w:val="Compact"/>
              <w:jc w:val="left"/>
            </w:pPr>
            <w:r>
              <w:t xml:space="preserve">Expression</w:t>
            </w:r>
          </w:p>
        </w:tc>
      </w:tr>
      <w:tr>
        <w:tc>
          <w:p>
            <w:pPr>
              <w:numPr>
                <w:ilvl w:val="0"/>
                <w:numId w:val="1000"/>
              </w:numPr>
              <w:pStyle w:val="Compact"/>
              <w:jc w:val="left"/>
            </w:pPr>
            <w:r>
              <w:rPr>
                <w:rStyle w:val="VerbatimChar"/>
              </w:rPr>
              <w:t xml:space="preserve">EST_TOTPOP</w:t>
            </w:r>
          </w:p>
        </w:tc>
        <w:tc>
          <w:p>
            <w:pPr>
              <w:numPr>
                <w:ilvl w:val="0"/>
                <w:numId w:val="1000"/>
              </w:numPr>
              <w:pStyle w:val="Compact"/>
              <w:jc w:val="left"/>
            </w:pPr>
            <w:r>
              <w:rPr>
                <w:rStyle w:val="VerbatimChar"/>
              </w:rPr>
              <w:t xml:space="preserve">!TOTPOP! * !AREA_FRAC!</w:t>
            </w:r>
          </w:p>
        </w:tc>
      </w:tr>
      <w:tr>
        <w:tc>
          <w:p>
            <w:pPr>
              <w:numPr>
                <w:ilvl w:val="0"/>
                <w:numId w:val="1000"/>
              </w:numPr>
              <w:pStyle w:val="Compact"/>
              <w:jc w:val="left"/>
            </w:pPr>
            <w:r>
              <w:rPr>
                <w:rStyle w:val="VerbatimChar"/>
              </w:rPr>
              <w:t xml:space="preserve">EST_WHITE</w:t>
            </w:r>
          </w:p>
        </w:tc>
        <w:tc>
          <w:p>
            <w:pPr>
              <w:numPr>
                <w:ilvl w:val="0"/>
                <w:numId w:val="1000"/>
              </w:numPr>
              <w:pStyle w:val="Compact"/>
              <w:jc w:val="left"/>
            </w:pPr>
            <w:r>
              <w:rPr>
                <w:rStyle w:val="VerbatimChar"/>
              </w:rPr>
              <w:t xml:space="preserve">!NH_WHITE! * !AREA_FRAC!</w:t>
            </w:r>
          </w:p>
        </w:tc>
      </w:tr>
      <w:tr>
        <w:tc>
          <w:p>
            <w:pPr>
              <w:numPr>
                <w:ilvl w:val="0"/>
                <w:numId w:val="1000"/>
              </w:numPr>
              <w:pStyle w:val="Compact"/>
              <w:jc w:val="left"/>
            </w:pPr>
            <w:r>
              <w:rPr>
                <w:rStyle w:val="VerbatimChar"/>
              </w:rPr>
              <w:t xml:space="preserve">EST_BLACK</w:t>
            </w:r>
          </w:p>
        </w:tc>
        <w:tc>
          <w:p>
            <w:pPr>
              <w:numPr>
                <w:ilvl w:val="0"/>
                <w:numId w:val="1000"/>
              </w:numPr>
              <w:pStyle w:val="Compact"/>
              <w:jc w:val="left"/>
            </w:pPr>
            <w:r>
              <w:rPr>
                <w:rStyle w:val="VerbatimChar"/>
              </w:rPr>
              <w:t xml:space="preserve">!NH_BLACK! * !AREA_FRAC!</w:t>
            </w:r>
          </w:p>
        </w:tc>
      </w:tr>
      <w:tr>
        <w:tc>
          <w:p>
            <w:pPr>
              <w:numPr>
                <w:ilvl w:val="0"/>
                <w:numId w:val="1000"/>
              </w:numPr>
              <w:pStyle w:val="Compact"/>
              <w:jc w:val="left"/>
            </w:pPr>
            <w:r>
              <w:rPr>
                <w:rStyle w:val="VerbatimChar"/>
              </w:rPr>
              <w:t xml:space="preserve">EST_HISP</w:t>
            </w:r>
          </w:p>
        </w:tc>
        <w:tc>
          <w:p>
            <w:pPr>
              <w:numPr>
                <w:ilvl w:val="0"/>
                <w:numId w:val="1000"/>
              </w:numPr>
              <w:pStyle w:val="Compact"/>
              <w:jc w:val="left"/>
            </w:pPr>
            <w:r>
              <w:rPr>
                <w:rStyle w:val="VerbatimChar"/>
              </w:rPr>
              <w:t xml:space="preserve">!HISPANIC! * !AREA_FRAC!</w:t>
            </w:r>
          </w:p>
        </w:tc>
      </w:tr>
    </w:tbl>
    <w:p>
      <w:pPr>
        <w:pStyle w:val="FirstParagraph"/>
      </w:pPr>
      <w:r>
        <w:rPr>
          <w:i/>
        </w:rPr>
        <w:t xml:space="preserve">[Figure: Attribute table of BG_intersect_rings showing AREA_FRAC and the four EST_ fields populated with decimal values]</w:t>
      </w:r>
    </w:p>
    <w:p>
      <w:r>
        <w:pict>
          <v:rect style="width:0;height:1.5pt" o:hralign="center" o:hrstd="t" o:hr="t"/>
        </w:pict>
      </w:r>
    </w:p>
    <w:p>
      <w:pPr>
        <w:pStyle w:val="Heading2"/>
      </w:pPr>
      <w:bookmarkStart w:id="30" w:name="X2b61729f26033a18f2ad51532c2dfabd78b7f5a"/>
      <w:r>
        <w:t xml:space="preserve">Part 5: Select block groups within 1 km — the</w:t>
      </w:r>
      <w:r>
        <w:t xml:space="preserve"> </w:t>
      </w:r>
      <w:r>
        <w:t xml:space="preserve">“</w:t>
      </w:r>
      <w:r>
        <w:t xml:space="preserve">inside</w:t>
      </w:r>
      <w:r>
        <w:t xml:space="preserve">”</w:t>
      </w:r>
      <w:r>
        <w:t xml:space="preserve"> </w:t>
      </w:r>
      <w:r>
        <w:t xml:space="preserve">set</w:t>
      </w:r>
      <w:bookmarkEnd w:id="30"/>
    </w:p>
    <w:p>
      <w:pPr>
        <w:pStyle w:val="FirstParagraph"/>
      </w:pPr>
      <w:r>
        <w:t xml:space="preserve">For the demographic comparison table you need two groups: block groups whose centroids (or any part) fall inside 1 km, and those entirely outside.</w:t>
      </w:r>
    </w:p>
    <w:p>
      <w:pPr>
        <w:numPr>
          <w:ilvl w:val="0"/>
          <w:numId w:val="1013"/>
        </w:numPr>
      </w:pPr>
      <w:r>
        <w:t xml:space="preserve">In the</w:t>
      </w:r>
      <w:r>
        <w:t xml:space="preserve"> </w:t>
      </w:r>
      <w:r>
        <w:rPr>
          <w:b/>
        </w:rPr>
        <w:t xml:space="preserve">Contents</w:t>
      </w:r>
      <w:r>
        <w:t xml:space="preserve"> </w:t>
      </w:r>
      <w:r>
        <w:t xml:space="preserve">pane, click on</w:t>
      </w:r>
      <w:r>
        <w:t xml:space="preserve"> </w:t>
      </w:r>
      <w:r>
        <w:rPr>
          <w:rStyle w:val="VerbatimChar"/>
        </w:rPr>
        <w:t xml:space="preserve">phl_blockgroups_acs</w:t>
      </w:r>
      <w:r>
        <w:t xml:space="preserve"> </w:t>
      </w:r>
      <w:r>
        <w:t xml:space="preserve">to make it the active layer.</w:t>
      </w:r>
    </w:p>
    <w:p>
      <w:pPr>
        <w:numPr>
          <w:ilvl w:val="0"/>
          <w:numId w:val="1013"/>
        </w:numPr>
      </w:pPr>
      <w:r>
        <w:t xml:space="preserve">On the</w:t>
      </w:r>
      <w:r>
        <w:t xml:space="preserve"> </w:t>
      </w:r>
      <w:r>
        <w:rPr>
          <w:b/>
        </w:rPr>
        <w:t xml:space="preserve">Map</w:t>
      </w:r>
      <w:r>
        <w:t xml:space="preserve"> </w:t>
      </w:r>
      <w:r>
        <w:t xml:space="preserve">tab, in the</w:t>
      </w:r>
      <w:r>
        <w:t xml:space="preserve"> </w:t>
      </w:r>
      <w:r>
        <w:rPr>
          <w:b/>
        </w:rPr>
        <w:t xml:space="preserve">Selection</w:t>
      </w:r>
      <w:r>
        <w:t xml:space="preserve"> </w:t>
      </w:r>
      <w:r>
        <w:t xml:space="preserve">group, click</w:t>
      </w:r>
      <w:r>
        <w:t xml:space="preserve"> </w:t>
      </w:r>
      <w:r>
        <w:rPr>
          <w:b/>
        </w:rPr>
        <w:t xml:space="preserve">Select By Location</w:t>
      </w:r>
      <w:r>
        <w:t xml:space="preserve">.</w:t>
      </w:r>
    </w:p>
    <w:p>
      <w:pPr>
        <w:numPr>
          <w:ilvl w:val="0"/>
          <w:numId w:val="1013"/>
        </w:numPr>
      </w:pPr>
      <w:r>
        <w:t xml:space="preserve">Set parameters:</w:t>
      </w:r>
    </w:p>
    <w:tbl>
      <w:tblPr>
        <w:tblStyle w:val="Table"/>
        <w:tblW w:type="pct" w:w="5000.0"/>
        <w:tblLook w:firstRow="1"/>
      </w:tblPr>
      <w:tblGrid>
        <w:gridCol w:w="3960"/>
        <w:gridCol w:w="3960"/>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Features</w:t>
            </w:r>
          </w:p>
        </w:tc>
        <w:tc>
          <w:p>
            <w:pPr>
              <w:numPr>
                <w:ilvl w:val="0"/>
                <w:numId w:val="1000"/>
              </w:numPr>
              <w:pStyle w:val="Compact"/>
              <w:jc w:val="left"/>
            </w:pPr>
            <w:r>
              <w:rPr>
                <w:rStyle w:val="VerbatimChar"/>
              </w:rPr>
              <w:t xml:space="preserve">phl_blockgroups_acs</w:t>
            </w:r>
          </w:p>
        </w:tc>
      </w:tr>
      <w:tr>
        <w:tc>
          <w:p>
            <w:pPr>
              <w:numPr>
                <w:ilvl w:val="0"/>
                <w:numId w:val="1000"/>
              </w:numPr>
              <w:pStyle w:val="Compact"/>
              <w:jc w:val="left"/>
            </w:pPr>
            <w:r>
              <w:t xml:space="preserve">Relationship</w:t>
            </w:r>
          </w:p>
        </w:tc>
        <w:tc>
          <w:p>
            <w:pPr>
              <w:numPr>
                <w:ilvl w:val="0"/>
                <w:numId w:val="1000"/>
              </w:numPr>
              <w:pStyle w:val="Compact"/>
              <w:jc w:val="left"/>
            </w:pPr>
            <w:r>
              <w:t xml:space="preserve">Intersect</w:t>
            </w:r>
          </w:p>
        </w:tc>
      </w:tr>
      <w:tr>
        <w:tc>
          <w:p>
            <w:pPr>
              <w:numPr>
                <w:ilvl w:val="0"/>
                <w:numId w:val="1000"/>
              </w:numPr>
              <w:pStyle w:val="Compact"/>
              <w:jc w:val="left"/>
            </w:pPr>
            <w:r>
              <w:t xml:space="preserve">Selecting Features</w:t>
            </w:r>
          </w:p>
        </w:tc>
        <w:tc>
          <w:p>
            <w:pPr>
              <w:numPr>
                <w:ilvl w:val="0"/>
                <w:numId w:val="1000"/>
              </w:numPr>
              <w:pStyle w:val="Compact"/>
              <w:jc w:val="left"/>
            </w:pPr>
            <w:r>
              <w:rPr>
                <w:rStyle w:val="VerbatimChar"/>
              </w:rPr>
              <w:t xml:space="preserve">TRI_rings_3</w:t>
            </w:r>
            <w:r>
              <w:t xml:space="preserve"> </w:t>
            </w:r>
            <w:r>
              <w:t xml:space="preserve">(use the 0–1 km rings; filter by</w:t>
            </w:r>
            <w:r>
              <w:t xml:space="preserve"> </w:t>
            </w:r>
            <w:r>
              <w:rPr>
                <w:rStyle w:val="VerbatimChar"/>
              </w:rPr>
              <w:t xml:space="preserve">distance &lt;= 1000</w:t>
            </w:r>
            <w:r>
              <w:t xml:space="preserve"> </w:t>
            </w:r>
            <w:r>
              <w:t xml:space="preserve">if needed — see Note)</w:t>
            </w:r>
          </w:p>
        </w:tc>
      </w:tr>
      <w:tr>
        <w:tc>
          <w:p>
            <w:pPr>
              <w:numPr>
                <w:ilvl w:val="0"/>
                <w:numId w:val="1000"/>
              </w:numPr>
              <w:pStyle w:val="Compact"/>
              <w:jc w:val="left"/>
            </w:pPr>
            <w:r>
              <w:t xml:space="preserve">Search Distance</w:t>
            </w:r>
          </w:p>
        </w:tc>
        <w:tc>
          <w:p>
            <w:pPr>
              <w:numPr>
                <w:ilvl w:val="0"/>
                <w:numId w:val="1000"/>
              </w:numPr>
              <w:pStyle w:val="Compact"/>
              <w:jc w:val="left"/>
            </w:pPr>
            <w:r>
              <w:t xml:space="preserve">(leave blank — Intersect uses shared area)</w:t>
            </w:r>
          </w:p>
        </w:tc>
      </w:tr>
    </w:tbl>
    <w:p>
      <w:pPr>
        <w:numPr>
          <w:ilvl w:val="0"/>
          <w:numId w:val="1000"/>
        </w:numPr>
        <w:pStyle w:val="BlockText"/>
      </w:pPr>
      <w:r>
        <w:rPr>
          <w:b/>
        </w:rPr>
        <w:t xml:space="preserve">Note:</w:t>
      </w:r>
      <w:r>
        <w:t xml:space="preserve"> </w:t>
      </w:r>
      <w:r>
        <w:t xml:space="preserve">The</w:t>
      </w:r>
      <w:r>
        <w:t xml:space="preserve"> </w:t>
      </w:r>
      <w:r>
        <w:rPr>
          <w:rStyle w:val="VerbatimChar"/>
        </w:rPr>
        <w:t xml:space="preserve">TRI_rings_3</w:t>
      </w:r>
      <w:r>
        <w:t xml:space="preserve"> </w:t>
      </w:r>
      <w:r>
        <w:t xml:space="preserve">layer has three rings including the 1–2 km ring. To select only block groups within 1 km, first select just the inner two rings: on the</w:t>
      </w:r>
      <w:r>
        <w:t xml:space="preserve"> </w:t>
      </w:r>
      <w:r>
        <w:rPr>
          <w:b/>
        </w:rPr>
        <w:t xml:space="preserve">Map</w:t>
      </w:r>
      <w:r>
        <w:t xml:space="preserve"> </w:t>
      </w:r>
      <w:r>
        <w:t xml:space="preserve">tab click</w:t>
      </w:r>
      <w:r>
        <w:t xml:space="preserve"> </w:t>
      </w:r>
      <w:r>
        <w:rPr>
          <w:b/>
        </w:rPr>
        <w:t xml:space="preserve">Select By Attributes</w:t>
      </w:r>
      <w:r>
        <w:t xml:space="preserve">, choose</w:t>
      </w:r>
      <w:r>
        <w:t xml:space="preserve"> </w:t>
      </w:r>
      <w:r>
        <w:rPr>
          <w:rStyle w:val="VerbatimChar"/>
        </w:rPr>
        <w:t xml:space="preserve">TRI_rings_3</w:t>
      </w:r>
      <w:r>
        <w:t xml:space="preserve">, and set the expression</w:t>
      </w:r>
      <w:r>
        <w:t xml:space="preserve"> </w:t>
      </w:r>
      <w:r>
        <w:rPr>
          <w:rStyle w:val="VerbatimChar"/>
        </w:rPr>
        <w:t xml:space="preserve">distance &lt;= 1000</w:t>
      </w:r>
      <w:r>
        <w:t xml:space="preserve">. Then in</w:t>
      </w:r>
      <w:r>
        <w:t xml:space="preserve"> </w:t>
      </w:r>
      <w:r>
        <w:rPr>
          <w:b/>
        </w:rPr>
        <w:t xml:space="preserve">Select By Location</w:t>
      </w:r>
      <w:r>
        <w:t xml:space="preserve">, set</w:t>
      </w:r>
      <w:r>
        <w:t xml:space="preserve"> </w:t>
      </w:r>
      <w:r>
        <w:rPr>
          <w:b/>
        </w:rPr>
        <w:t xml:space="preserve">Selecting Features</w:t>
      </w:r>
      <w:r>
        <w:t xml:space="preserve"> </w:t>
      </w:r>
      <w:r>
        <w:t xml:space="preserve">to</w:t>
      </w:r>
      <w:r>
        <w:t xml:space="preserve"> </w:t>
      </w:r>
      <w:r>
        <w:rPr>
          <w:rStyle w:val="VerbatimChar"/>
        </w:rPr>
        <w:t xml:space="preserve">TRI_rings_3</w:t>
      </w:r>
      <w:r>
        <w:t xml:space="preserve"> </w:t>
      </w:r>
      <w:r>
        <w:t xml:space="preserve">and check</w:t>
      </w:r>
      <w:r>
        <w:t xml:space="preserve"> </w:t>
      </w:r>
      <w:r>
        <w:rPr>
          <w:b/>
        </w:rPr>
        <w:t xml:space="preserve">Use Selected Features</w:t>
      </w:r>
      <w:r>
        <w:t xml:space="preserve">. Click</w:t>
      </w:r>
      <w:r>
        <w:t xml:space="preserve"> </w:t>
      </w:r>
      <w:r>
        <w:rPr>
          <w:b/>
        </w:rPr>
        <w:t xml:space="preserve">Run</w:t>
      </w:r>
      <w:r>
        <w:t xml:space="preserve">.</w:t>
      </w:r>
    </w:p>
    <w:p>
      <w:pPr>
        <w:numPr>
          <w:ilvl w:val="0"/>
          <w:numId w:val="1013"/>
        </w:numPr>
      </w:pPr>
      <w:r>
        <w:t xml:space="preserve">ArcGIS Pro highlights the block groups that intersect the 0–1 km zone. Note the count in the status bar at the bottom.</w:t>
      </w:r>
    </w:p>
    <w:p>
      <w:pPr>
        <w:numPr>
          <w:ilvl w:val="0"/>
          <w:numId w:val="1013"/>
        </w:numPr>
      </w:pPr>
      <w:r>
        <w:t xml:space="preserve">Right-click</w:t>
      </w:r>
      <w:r>
        <w:t xml:space="preserve"> </w:t>
      </w:r>
      <w:r>
        <w:rPr>
          <w:rStyle w:val="VerbatimChar"/>
        </w:rPr>
        <w:t xml:space="preserve">phl_blockgroups_acs</w:t>
      </w:r>
      <w:r>
        <w:t xml:space="preserve"> </w:t>
      </w:r>
      <w:r>
        <w:t xml:space="preserve">in the</w:t>
      </w:r>
      <w:r>
        <w:t xml:space="preserve"> </w:t>
      </w:r>
      <w:r>
        <w:rPr>
          <w:b/>
        </w:rPr>
        <w:t xml:space="preserve">Contents</w:t>
      </w:r>
      <w:r>
        <w:t xml:space="preserve"> </w:t>
      </w:r>
      <w:r>
        <w:t xml:space="preserve">pane →</w:t>
      </w:r>
      <w:r>
        <w:t xml:space="preserve"> </w:t>
      </w:r>
      <w:r>
        <w:rPr>
          <w:b/>
        </w:rPr>
        <w:t xml:space="preserve">Data</w:t>
      </w:r>
      <w:r>
        <w:t xml:space="preserve"> </w:t>
      </w:r>
      <w:r>
        <w:t xml:space="preserve">→</w:t>
      </w:r>
      <w:r>
        <w:t xml:space="preserve"> </w:t>
      </w:r>
      <w:r>
        <w:rPr>
          <w:b/>
        </w:rPr>
        <w:t xml:space="preserve">Export Features</w:t>
      </w:r>
      <w:r>
        <w:t xml:space="preserve">. Name the output</w:t>
      </w:r>
      <w:r>
        <w:t xml:space="preserve"> </w:t>
      </w:r>
      <w:r>
        <w:rPr>
          <w:rStyle w:val="VerbatimChar"/>
        </w:rPr>
        <w:t xml:space="preserve">BG_inside_1km</w:t>
      </w:r>
      <w:r>
        <w:t xml:space="preserve">. This saves only the selected features.</w:t>
      </w:r>
    </w:p>
    <w:p>
      <w:pPr>
        <w:numPr>
          <w:ilvl w:val="0"/>
          <w:numId w:val="1013"/>
        </w:numPr>
      </w:pPr>
      <w:r>
        <w:t xml:space="preserve">Clear the selection: on the</w:t>
      </w:r>
      <w:r>
        <w:t xml:space="preserve"> </w:t>
      </w:r>
      <w:r>
        <w:rPr>
          <w:b/>
        </w:rPr>
        <w:t xml:space="preserve">Map</w:t>
      </w:r>
      <w:r>
        <w:t xml:space="preserve"> </w:t>
      </w:r>
      <w:r>
        <w:t xml:space="preserve">tab, click</w:t>
      </w:r>
      <w:r>
        <w:t xml:space="preserve"> </w:t>
      </w:r>
      <w:r>
        <w:rPr>
          <w:b/>
        </w:rPr>
        <w:t xml:space="preserve">Clear</w:t>
      </w:r>
      <w:r>
        <w:t xml:space="preserve"> </w:t>
      </w:r>
      <w:r>
        <w:t xml:space="preserve">in the</w:t>
      </w:r>
      <w:r>
        <w:t xml:space="preserve"> </w:t>
      </w:r>
      <w:r>
        <w:rPr>
          <w:b/>
        </w:rPr>
        <w:t xml:space="preserve">Selection</w:t>
      </w:r>
      <w:r>
        <w:t xml:space="preserve"> </w:t>
      </w:r>
      <w:r>
        <w:t xml:space="preserve">group.</w:t>
      </w:r>
    </w:p>
    <w:p>
      <w:r>
        <w:pict>
          <v:rect style="width:0;height:1.5pt" o:hralign="center" o:hrstd="t" o:hr="t"/>
        </w:pict>
      </w:r>
    </w:p>
    <w:p>
      <w:pPr>
        <w:pStyle w:val="Heading2"/>
      </w:pPr>
      <w:bookmarkStart w:id="31" w:name="Xe2fd12eb5dd3b2ab138b1a6338d7502af729a69"/>
      <w:r>
        <w:t xml:space="preserve">Part 6: Create the</w:t>
      </w:r>
      <w:r>
        <w:t xml:space="preserve"> </w:t>
      </w:r>
      <w:r>
        <w:t xml:space="preserve">“</w:t>
      </w:r>
      <w:r>
        <w:t xml:space="preserve">outside 1 km</w:t>
      </w:r>
      <w:r>
        <w:t xml:space="preserve">”</w:t>
      </w:r>
      <w:r>
        <w:t xml:space="preserve"> </w:t>
      </w:r>
      <w:r>
        <w:t xml:space="preserve">block group set using Erase</w:t>
      </w:r>
      <w:bookmarkEnd w:id="31"/>
    </w:p>
    <w:p>
      <w:pPr>
        <w:numPr>
          <w:ilvl w:val="0"/>
          <w:numId w:val="1014"/>
        </w:numPr>
      </w:pPr>
      <w:r>
        <w:t xml:space="preserve">Open the</w:t>
      </w:r>
      <w:r>
        <w:t xml:space="preserve"> </w:t>
      </w:r>
      <w:r>
        <w:rPr>
          <w:b/>
        </w:rPr>
        <w:t xml:space="preserve">Erase</w:t>
      </w:r>
      <w:r>
        <w:t xml:space="preserve"> </w:t>
      </w:r>
      <w:r>
        <w:t xml:space="preserve">tool (search Geoprocessing pane:</w:t>
      </w:r>
      <w:r>
        <w:t xml:space="preserve"> </w:t>
      </w:r>
      <w:r>
        <w:rPr>
          <w:rStyle w:val="VerbatimChar"/>
        </w:rPr>
        <w:t xml:space="preserve">Erase</w:t>
      </w:r>
      <w:r>
        <w:t xml:space="preserve">).</w:t>
      </w:r>
    </w:p>
    <w:p>
      <w:pPr>
        <w:numPr>
          <w:ilvl w:val="0"/>
          <w:numId w:val="1014"/>
        </w:numPr>
      </w:pPr>
      <w:r>
        <w:t xml:space="preserve">Set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Features</w:t>
            </w:r>
          </w:p>
        </w:tc>
        <w:tc>
          <w:p>
            <w:pPr>
              <w:numPr>
                <w:ilvl w:val="0"/>
                <w:numId w:val="1000"/>
              </w:numPr>
              <w:pStyle w:val="Compact"/>
              <w:jc w:val="left"/>
            </w:pPr>
            <w:r>
              <w:rPr>
                <w:rStyle w:val="VerbatimChar"/>
              </w:rPr>
              <w:t xml:space="preserve">phl_blockgroups_acs</w:t>
            </w:r>
          </w:p>
        </w:tc>
      </w:tr>
      <w:tr>
        <w:tc>
          <w:p>
            <w:pPr>
              <w:numPr>
                <w:ilvl w:val="0"/>
                <w:numId w:val="1000"/>
              </w:numPr>
              <w:pStyle w:val="Compact"/>
              <w:jc w:val="left"/>
            </w:pPr>
            <w:r>
              <w:t xml:space="preserve">Erase Features</w:t>
            </w:r>
          </w:p>
        </w:tc>
        <w:tc>
          <w:p>
            <w:pPr>
              <w:numPr>
                <w:ilvl w:val="0"/>
                <w:numId w:val="1000"/>
              </w:numPr>
              <w:pStyle w:val="Compact"/>
              <w:jc w:val="left"/>
            </w:pPr>
            <w:r>
              <w:rPr>
                <w:rStyle w:val="VerbatimChar"/>
              </w:rPr>
              <w:t xml:space="preserve">BG_inside_1km</w:t>
            </w:r>
          </w:p>
        </w:tc>
      </w:tr>
      <w:tr>
        <w:tc>
          <w:p>
            <w:pPr>
              <w:numPr>
                <w:ilvl w:val="0"/>
                <w:numId w:val="1000"/>
              </w:numPr>
              <w:pStyle w:val="Compact"/>
              <w:jc w:val="left"/>
            </w:pPr>
            <w:r>
              <w:t xml:space="preserve">Output Feature Class</w:t>
            </w:r>
          </w:p>
        </w:tc>
        <w:tc>
          <w:p>
            <w:pPr>
              <w:numPr>
                <w:ilvl w:val="0"/>
                <w:numId w:val="1000"/>
              </w:numPr>
              <w:pStyle w:val="Compact"/>
              <w:jc w:val="left"/>
            </w:pPr>
            <w:r>
              <w:rPr>
                <w:rStyle w:val="VerbatimChar"/>
              </w:rPr>
              <w:t xml:space="preserve">BG_outside_1km</w:t>
            </w:r>
          </w:p>
        </w:tc>
      </w:tr>
    </w:tbl>
    <w:p>
      <w:pPr>
        <w:numPr>
          <w:ilvl w:val="0"/>
          <w:numId w:val="1014"/>
        </w:numPr>
      </w:pPr>
      <w:r>
        <w:t xml:space="preserve">Click</w:t>
      </w:r>
      <w:r>
        <w:t xml:space="preserve"> </w:t>
      </w:r>
      <w:r>
        <w:rPr>
          <w:b/>
        </w:rPr>
        <w:t xml:space="preserve">Run</w:t>
      </w:r>
      <w:r>
        <w:t xml:space="preserve">. The output contains only the block groups that had no intersection with the 0–1 km zone.</w:t>
      </w:r>
    </w:p>
    <w:p>
      <w:pPr>
        <w:pStyle w:val="FirstParagraph"/>
      </w:pPr>
      <w:r>
        <w:rPr>
          <w:i/>
        </w:rPr>
        <w:t xml:space="preserve">[Figure: Philadelphia block groups with inside-1km set shown in blue and outside set shown in gray]</w:t>
      </w:r>
    </w:p>
    <w:p>
      <w:pPr>
        <w:pStyle w:val="BlockText"/>
      </w:pPr>
      <w:r>
        <w:rPr>
          <w:b/>
        </w:rPr>
        <w:t xml:space="preserve">Note:</w:t>
      </w:r>
      <w:r>
        <w:t xml:space="preserve"> </w:t>
      </w:r>
      <w:r>
        <w:t xml:space="preserve">The Erase tool removes the full block group polygons that appeared in</w:t>
      </w:r>
      <w:r>
        <w:t xml:space="preserve"> </w:t>
      </w:r>
      <w:r>
        <w:rPr>
          <w:rStyle w:val="VerbatimChar"/>
        </w:rPr>
        <w:t xml:space="preserve">BG_inside_1km</w:t>
      </w:r>
      <w:r>
        <w:t xml:space="preserve">, not just the ring-clipped portions. For the comparison table this is intentional — you want the full demographic data for block groups in each category, not areal-weighted fragments.</w:t>
      </w:r>
    </w:p>
    <w:p>
      <w:r>
        <w:pict>
          <v:rect style="width:0;height:1.5pt" o:hralign="center" o:hrstd="t" o:hr="t"/>
        </w:pict>
      </w:r>
    </w:p>
    <w:p>
      <w:pPr>
        <w:pStyle w:val="Heading2"/>
      </w:pPr>
      <w:bookmarkStart w:id="32" w:name="Xafbbede9d88d8c51ff5eff963c874d3cb33d085"/>
      <w:r>
        <w:t xml:space="preserve">Part 7: Summary Statistics — compare demographics inside vs. outside 1 km</w:t>
      </w:r>
      <w:bookmarkEnd w:id="32"/>
    </w:p>
    <w:p>
      <w:pPr>
        <w:pStyle w:val="FirstParagraph"/>
      </w:pPr>
      <w:r>
        <w:t xml:space="preserve">You will run</w:t>
      </w:r>
      <w:r>
        <w:t xml:space="preserve"> </w:t>
      </w:r>
      <w:r>
        <w:rPr>
          <w:b/>
        </w:rPr>
        <w:t xml:space="preserve">Summary Statistics</w:t>
      </w:r>
      <w:r>
        <w:t xml:space="preserve"> </w:t>
      </w:r>
      <w:r>
        <w:t xml:space="preserve">twice: once on</w:t>
      </w:r>
      <w:r>
        <w:t xml:space="preserve"> </w:t>
      </w:r>
      <w:r>
        <w:rPr>
          <w:rStyle w:val="VerbatimChar"/>
        </w:rPr>
        <w:t xml:space="preserve">BG_inside_1km</w:t>
      </w:r>
      <w:r>
        <w:t xml:space="preserve"> </w:t>
      </w:r>
      <w:r>
        <w:t xml:space="preserve">and once on</w:t>
      </w:r>
      <w:r>
        <w:t xml:space="preserve"> </w:t>
      </w:r>
      <w:r>
        <w:rPr>
          <w:rStyle w:val="VerbatimChar"/>
        </w:rPr>
        <w:t xml:space="preserve">BG_outside_1km</w:t>
      </w:r>
      <w:r>
        <w:t xml:space="preserve">, summing the population fields. Then you will calculate percent composition by hand in a table.</w:t>
      </w:r>
    </w:p>
    <w:p>
      <w:pPr>
        <w:pStyle w:val="BodyText"/>
      </w:pPr>
      <w:r>
        <w:rPr>
          <w:b/>
        </w:rPr>
        <w:t xml:space="preserve">Inside 1 km:</w:t>
      </w:r>
    </w:p>
    <w:p>
      <w:pPr>
        <w:numPr>
          <w:ilvl w:val="0"/>
          <w:numId w:val="1015"/>
        </w:numPr>
      </w:pPr>
      <w:r>
        <w:t xml:space="preserve">Open the</w:t>
      </w:r>
      <w:r>
        <w:t xml:space="preserve"> </w:t>
      </w:r>
      <w:r>
        <w:rPr>
          <w:b/>
        </w:rPr>
        <w:t xml:space="preserve">Summary Statistics</w:t>
      </w:r>
      <w:r>
        <w:t xml:space="preserve"> </w:t>
      </w:r>
      <w:r>
        <w:t xml:space="preserve">tool (search:</w:t>
      </w:r>
      <w:r>
        <w:t xml:space="preserve"> </w:t>
      </w:r>
      <w:r>
        <w:rPr>
          <w:rStyle w:val="VerbatimChar"/>
        </w:rPr>
        <w:t xml:space="preserve">Summary Statistics</w:t>
      </w:r>
      <w:r>
        <w:t xml:space="preserve">).</w:t>
      </w:r>
    </w:p>
    <w:p>
      <w:pPr>
        <w:numPr>
          <w:ilvl w:val="0"/>
          <w:numId w:val="1015"/>
        </w:numPr>
      </w:pPr>
      <w:r>
        <w:t xml:space="preserve">Set parameters:</w:t>
      </w:r>
    </w:p>
    <w:tbl>
      <w:tblPr>
        <w:tblStyle w:val="Table"/>
        <w:tblW w:type="pct" w:w="5000.0"/>
        <w:tblLook w:firstRow="1"/>
      </w:tblPr>
      <w:tblGrid>
        <w:gridCol w:w="3960"/>
        <w:gridCol w:w="3960"/>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Table</w:t>
            </w:r>
          </w:p>
        </w:tc>
        <w:tc>
          <w:p>
            <w:pPr>
              <w:numPr>
                <w:ilvl w:val="0"/>
                <w:numId w:val="1000"/>
              </w:numPr>
              <w:pStyle w:val="Compact"/>
              <w:jc w:val="left"/>
            </w:pPr>
            <w:r>
              <w:rPr>
                <w:rStyle w:val="VerbatimChar"/>
              </w:rPr>
              <w:t xml:space="preserve">BG_inside_1km</w:t>
            </w:r>
          </w:p>
        </w:tc>
      </w:tr>
      <w:tr>
        <w:tc>
          <w:p>
            <w:pPr>
              <w:numPr>
                <w:ilvl w:val="0"/>
                <w:numId w:val="1000"/>
              </w:numPr>
              <w:pStyle w:val="Compact"/>
              <w:jc w:val="left"/>
            </w:pPr>
            <w:r>
              <w:t xml:space="preserve">Output Table</w:t>
            </w:r>
          </w:p>
        </w:tc>
        <w:tc>
          <w:p>
            <w:pPr>
              <w:numPr>
                <w:ilvl w:val="0"/>
                <w:numId w:val="1000"/>
              </w:numPr>
              <w:pStyle w:val="Compact"/>
              <w:jc w:val="left"/>
            </w:pPr>
            <w:r>
              <w:rPr>
                <w:rStyle w:val="VerbatimChar"/>
              </w:rPr>
              <w:t xml:space="preserve">Stats_inside_1km</w:t>
            </w:r>
          </w:p>
        </w:tc>
      </w:tr>
      <w:tr>
        <w:tc>
          <w:p>
            <w:pPr>
              <w:numPr>
                <w:ilvl w:val="0"/>
                <w:numId w:val="1000"/>
              </w:numPr>
              <w:pStyle w:val="Compact"/>
              <w:jc w:val="left"/>
            </w:pPr>
            <w:r>
              <w:t xml:space="preserve">Statistics Fields</w:t>
            </w:r>
          </w:p>
        </w:tc>
        <w:tc>
          <w:p>
            <w:pPr>
              <w:numPr>
                <w:ilvl w:val="0"/>
                <w:numId w:val="1000"/>
              </w:numPr>
              <w:pStyle w:val="Compact"/>
              <w:jc w:val="left"/>
            </w:pPr>
            <w:r>
              <w:rPr>
                <w:rStyle w:val="VerbatimChar"/>
              </w:rPr>
              <w:t xml:space="preserve">TOTPOP</w:t>
            </w:r>
            <w:r>
              <w:t xml:space="preserve"> </w:t>
            </w:r>
            <w:r>
              <w:t xml:space="preserve">(SUM);</w:t>
            </w:r>
            <w:r>
              <w:t xml:space="preserve"> </w:t>
            </w:r>
            <w:r>
              <w:rPr>
                <w:rStyle w:val="VerbatimChar"/>
              </w:rPr>
              <w:t xml:space="preserve">NH_WHITE</w:t>
            </w:r>
            <w:r>
              <w:t xml:space="preserve"> </w:t>
            </w:r>
            <w:r>
              <w:t xml:space="preserve">(SUM);</w:t>
            </w:r>
            <w:r>
              <w:t xml:space="preserve"> </w:t>
            </w:r>
            <w:r>
              <w:rPr>
                <w:rStyle w:val="VerbatimChar"/>
              </w:rPr>
              <w:t xml:space="preserve">NH_BLACK</w:t>
            </w:r>
            <w:r>
              <w:t xml:space="preserve"> </w:t>
            </w:r>
            <w:r>
              <w:t xml:space="preserve">(SUM);</w:t>
            </w:r>
            <w:r>
              <w:t xml:space="preserve"> </w:t>
            </w:r>
            <w:r>
              <w:rPr>
                <w:rStyle w:val="VerbatimChar"/>
              </w:rPr>
              <w:t xml:space="preserve">HISPANIC</w:t>
            </w:r>
            <w:r>
              <w:t xml:space="preserve"> </w:t>
            </w:r>
            <w:r>
              <w:t xml:space="preserve">(SUM)</w:t>
            </w:r>
          </w:p>
        </w:tc>
      </w:tr>
      <w:tr>
        <w:tc>
          <w:p>
            <w:pPr>
              <w:numPr>
                <w:ilvl w:val="0"/>
                <w:numId w:val="1000"/>
              </w:numPr>
              <w:pStyle w:val="Compact"/>
              <w:jc w:val="left"/>
            </w:pPr>
            <w:r>
              <w:t xml:space="preserve">Case Field</w:t>
            </w:r>
          </w:p>
        </w:tc>
        <w:tc>
          <w:p>
            <w:pPr>
              <w:numPr>
                <w:ilvl w:val="0"/>
                <w:numId w:val="1000"/>
              </w:numPr>
              <w:pStyle w:val="Compact"/>
              <w:jc w:val="left"/>
            </w:pPr>
            <w:r>
              <w:t xml:space="preserve">(leave blank — one row for the whole set)</w:t>
            </w:r>
          </w:p>
        </w:tc>
      </w:tr>
    </w:tbl>
    <w:p>
      <w:pPr>
        <w:numPr>
          <w:ilvl w:val="0"/>
          <w:numId w:val="1015"/>
        </w:numPr>
      </w:pPr>
      <w:r>
        <w:t xml:space="preserve">Click</w:t>
      </w:r>
      <w:r>
        <w:t xml:space="preserve"> </w:t>
      </w:r>
      <w:r>
        <w:rPr>
          <w:b/>
        </w:rPr>
        <w:t xml:space="preserve">Run</w:t>
      </w:r>
      <w:r>
        <w:t xml:space="preserve">. Open</w:t>
      </w:r>
      <w:r>
        <w:t xml:space="preserve"> </w:t>
      </w:r>
      <w:r>
        <w:rPr>
          <w:rStyle w:val="VerbatimChar"/>
        </w:rPr>
        <w:t xml:space="preserve">Stats_inside_1km</w:t>
      </w:r>
      <w:r>
        <w:t xml:space="preserve"> </w:t>
      </w:r>
      <w:r>
        <w:t xml:space="preserve">to see total counts.</w:t>
      </w:r>
    </w:p>
    <w:p>
      <w:pPr>
        <w:pStyle w:val="FirstParagraph"/>
      </w:pPr>
      <w:r>
        <w:rPr>
          <w:b/>
        </w:rPr>
        <w:t xml:space="preserve">Outside 1 km:</w:t>
      </w:r>
    </w:p>
    <w:p>
      <w:pPr>
        <w:numPr>
          <w:ilvl w:val="0"/>
          <w:numId w:val="1016"/>
        </w:numPr>
      </w:pPr>
      <w:r>
        <w:t xml:space="preserve">Repeat steps 1–3 with</w:t>
      </w:r>
      <w:r>
        <w:t xml:space="preserve"> </w:t>
      </w:r>
      <w:r>
        <w:rPr>
          <w:rStyle w:val="VerbatimChar"/>
        </w:rPr>
        <w:t xml:space="preserve">BG_outside_1km</w:t>
      </w:r>
      <w:r>
        <w:t xml:space="preserve"> </w:t>
      </w:r>
      <w:r>
        <w:t xml:space="preserve">as the Input Table and</w:t>
      </w:r>
      <w:r>
        <w:t xml:space="preserve"> </w:t>
      </w:r>
      <w:r>
        <w:rPr>
          <w:rStyle w:val="VerbatimChar"/>
        </w:rPr>
        <w:t xml:space="preserve">Stats_outside_1km</w:t>
      </w:r>
      <w:r>
        <w:t xml:space="preserve"> </w:t>
      </w:r>
      <w:r>
        <w:t xml:space="preserve">as the Output Table.</w:t>
      </w:r>
    </w:p>
    <w:p>
      <w:pPr>
        <w:numPr>
          <w:ilvl w:val="0"/>
          <w:numId w:val="1016"/>
        </w:numPr>
      </w:pPr>
      <w:r>
        <w:t xml:space="preserve">Open both output tables. Record the SUM values. Calculate percentages and complete a table like the following in your lab notebook or a Word document:</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Group</w:t>
            </w:r>
          </w:p>
        </w:tc>
        <w:tc>
          <w:tcPr>
            <w:tcBorders>
              <w:bottom w:val="single"/>
            </w:tcBorders>
            <w:vAlign w:val="bottom"/>
          </w:tcPr>
          <w:p>
            <w:pPr>
              <w:numPr>
                <w:ilvl w:val="0"/>
                <w:numId w:val="1000"/>
              </w:numPr>
              <w:pStyle w:val="Compact"/>
              <w:jc w:val="left"/>
            </w:pPr>
            <w:r>
              <w:t xml:space="preserve">Inside 1 km (n)</w:t>
            </w:r>
          </w:p>
        </w:tc>
        <w:tc>
          <w:tcPr>
            <w:tcBorders>
              <w:bottom w:val="single"/>
            </w:tcBorders>
            <w:vAlign w:val="bottom"/>
          </w:tcPr>
          <w:p>
            <w:pPr>
              <w:numPr>
                <w:ilvl w:val="0"/>
                <w:numId w:val="1000"/>
              </w:numPr>
              <w:pStyle w:val="Compact"/>
              <w:jc w:val="left"/>
            </w:pPr>
            <w:r>
              <w:t xml:space="preserve">Inside 1 km (%)</w:t>
            </w:r>
          </w:p>
        </w:tc>
        <w:tc>
          <w:tcPr>
            <w:tcBorders>
              <w:bottom w:val="single"/>
            </w:tcBorders>
            <w:vAlign w:val="bottom"/>
          </w:tcPr>
          <w:p>
            <w:pPr>
              <w:numPr>
                <w:ilvl w:val="0"/>
                <w:numId w:val="1000"/>
              </w:numPr>
              <w:pStyle w:val="Compact"/>
              <w:jc w:val="left"/>
            </w:pPr>
            <w:r>
              <w:t xml:space="preserve">Outside 1 km (n)</w:t>
            </w:r>
          </w:p>
        </w:tc>
        <w:tc>
          <w:tcPr>
            <w:tcBorders>
              <w:bottom w:val="single"/>
            </w:tcBorders>
            <w:vAlign w:val="bottom"/>
          </w:tcPr>
          <w:p>
            <w:pPr>
              <w:numPr>
                <w:ilvl w:val="0"/>
                <w:numId w:val="1000"/>
              </w:numPr>
              <w:pStyle w:val="Compact"/>
              <w:jc w:val="left"/>
            </w:pPr>
            <w:r>
              <w:t xml:space="preserve">Outside 1 km (%)</w:t>
            </w:r>
          </w:p>
        </w:tc>
      </w:tr>
      <w:tr>
        <w:tc>
          <w:p>
            <w:pPr>
              <w:numPr>
                <w:ilvl w:val="0"/>
                <w:numId w:val="1000"/>
              </w:numPr>
              <w:pStyle w:val="Compact"/>
              <w:jc w:val="left"/>
            </w:pPr>
            <w:r>
              <w:t xml:space="preserve">Total population</w:t>
            </w:r>
          </w:p>
        </w:tc>
        <w:tc>
          <w:p/>
        </w:tc>
        <w:tc>
          <w:p/>
        </w:tc>
        <w:tc>
          <w:p/>
        </w:tc>
        <w:tc>
          <w:p/>
        </w:tc>
      </w:tr>
      <w:tr>
        <w:tc>
          <w:p>
            <w:pPr>
              <w:numPr>
                <w:ilvl w:val="0"/>
                <w:numId w:val="1000"/>
              </w:numPr>
              <w:pStyle w:val="Compact"/>
              <w:jc w:val="left"/>
            </w:pPr>
            <w:r>
              <w:t xml:space="preserve">Non-Hispanic White</w:t>
            </w:r>
          </w:p>
        </w:tc>
        <w:tc>
          <w:p/>
        </w:tc>
        <w:tc>
          <w:p/>
        </w:tc>
        <w:tc>
          <w:p/>
        </w:tc>
        <w:tc>
          <w:p/>
        </w:tc>
      </w:tr>
      <w:tr>
        <w:tc>
          <w:p>
            <w:pPr>
              <w:numPr>
                <w:ilvl w:val="0"/>
                <w:numId w:val="1000"/>
              </w:numPr>
              <w:pStyle w:val="Compact"/>
              <w:jc w:val="left"/>
            </w:pPr>
            <w:r>
              <w:t xml:space="preserve">Non-Hispanic Black</w:t>
            </w:r>
          </w:p>
        </w:tc>
        <w:tc>
          <w:p/>
        </w:tc>
        <w:tc>
          <w:p/>
        </w:tc>
        <w:tc>
          <w:p/>
        </w:tc>
        <w:tc>
          <w:p/>
        </w:tc>
      </w:tr>
      <w:tr>
        <w:tc>
          <w:p>
            <w:pPr>
              <w:numPr>
                <w:ilvl w:val="0"/>
                <w:numId w:val="1000"/>
              </w:numPr>
              <w:pStyle w:val="Compact"/>
              <w:jc w:val="left"/>
            </w:pPr>
            <w:r>
              <w:t xml:space="preserve">Hispanic</w:t>
            </w:r>
          </w:p>
        </w:tc>
        <w:tc>
          <w:p/>
        </w:tc>
        <w:tc>
          <w:p/>
        </w:tc>
        <w:tc>
          <w:p/>
        </w:tc>
        <w:tc>
          <w:p/>
        </w:tc>
      </w:tr>
      <w:tr>
        <w:tc>
          <w:p>
            <w:pPr>
              <w:numPr>
                <w:ilvl w:val="0"/>
                <w:numId w:val="1000"/>
              </w:numPr>
              <w:pStyle w:val="Compact"/>
              <w:jc w:val="left"/>
            </w:pPr>
            <w:r>
              <w:t xml:space="preserve">All other NH</w:t>
            </w:r>
          </w:p>
        </w:tc>
        <w:tc>
          <w:p/>
        </w:tc>
        <w:tc>
          <w:p/>
        </w:tc>
        <w:tc>
          <w:p/>
        </w:tc>
        <w:tc>
          <w:p/>
        </w:tc>
      </w:tr>
    </w:tbl>
    <w:p>
      <w:pPr>
        <w:pStyle w:val="BlockText"/>
      </w:pPr>
      <w:r>
        <w:rPr>
          <w:b/>
        </w:rPr>
        <w:t xml:space="preserve">Public health note:</w:t>
      </w:r>
      <w:r>
        <w:t xml:space="preserve"> </w:t>
      </w:r>
      <w:r>
        <w:t xml:space="preserve">A higher share of non-White or Hispanic residents near TRI facilities compared to the rest of the city would be consistent with environmental justice research documenting disproportionate facility siting in communities of color. However, this cross-sectional proximity analysis cannot establish causation, cannot confirm actual chemical exposure, and does not account for historical patterns, zoning, or housing markets. The MAUP also applies: using census tracts instead of block groups would give different numbers.</w:t>
      </w:r>
    </w:p>
    <w:p>
      <w:r>
        <w:pict>
          <v:rect style="width:0;height:1.5pt" o:hralign="center" o:hrstd="t" o:hr="t"/>
        </w:pict>
      </w:r>
    </w:p>
    <w:p>
      <w:pPr>
        <w:pStyle w:val="Heading2"/>
      </w:pPr>
      <w:bookmarkStart w:id="33" w:name="part-8-map-the-buffer-rings"/>
      <w:r>
        <w:t xml:space="preserve">Part 8: Map the buffer rings</w:t>
      </w:r>
      <w:bookmarkEnd w:id="33"/>
    </w:p>
    <w:p>
      <w:pPr>
        <w:numPr>
          <w:ilvl w:val="0"/>
          <w:numId w:val="1017"/>
        </w:numPr>
      </w:pPr>
      <w:r>
        <w:t xml:space="preserve">In the</w:t>
      </w:r>
      <w:r>
        <w:t xml:space="preserve"> </w:t>
      </w:r>
      <w:r>
        <w:rPr>
          <w:b/>
        </w:rPr>
        <w:t xml:space="preserve">Contents</w:t>
      </w:r>
      <w:r>
        <w:t xml:space="preserve"> </w:t>
      </w:r>
      <w:r>
        <w:t xml:space="preserve">pane, arrange layers in this order (top to bottom):</w:t>
      </w:r>
      <w:r>
        <w:t xml:space="preserve"> </w:t>
      </w:r>
      <w:r>
        <w:rPr>
          <w:rStyle w:val="VerbatimChar"/>
        </w:rPr>
        <w:t xml:space="preserve">phl_TRI_facilities</w:t>
      </w:r>
      <w:r>
        <w:t xml:space="preserve">,</w:t>
      </w:r>
      <w:r>
        <w:t xml:space="preserve"> </w:t>
      </w:r>
      <w:r>
        <w:rPr>
          <w:rStyle w:val="VerbatimChar"/>
        </w:rPr>
        <w:t xml:space="preserve">TRI_rings_3</w:t>
      </w:r>
      <w:r>
        <w:t xml:space="preserve">,</w:t>
      </w:r>
      <w:r>
        <w:t xml:space="preserve"> </w:t>
      </w:r>
      <w:r>
        <w:rPr>
          <w:rStyle w:val="VerbatimChar"/>
        </w:rPr>
        <w:t xml:space="preserve">phl_blockgroups_acs</w:t>
      </w:r>
      <w:r>
        <w:t xml:space="preserve">.</w:t>
      </w:r>
    </w:p>
    <w:p>
      <w:pPr>
        <w:numPr>
          <w:ilvl w:val="0"/>
          <w:numId w:val="1017"/>
        </w:numPr>
      </w:pPr>
      <w:r>
        <w:t xml:space="preserve">Symbolize</w:t>
      </w:r>
      <w:r>
        <w:t xml:space="preserve"> </w:t>
      </w:r>
      <w:r>
        <w:rPr>
          <w:rStyle w:val="VerbatimChar"/>
        </w:rPr>
        <w:t xml:space="preserve">TRI_rings_3</w:t>
      </w:r>
      <w:r>
        <w:t xml:space="preserve"> </w:t>
      </w:r>
      <w:r>
        <w:t xml:space="preserve">using</w:t>
      </w:r>
      <w:r>
        <w:t xml:space="preserve"> </w:t>
      </w:r>
      <w:r>
        <w:rPr>
          <w:b/>
        </w:rPr>
        <w:t xml:space="preserve">Unique Values</w:t>
      </w:r>
      <w:r>
        <w:t xml:space="preserve"> </w:t>
      </w:r>
      <w:r>
        <w:t xml:space="preserve">on the</w:t>
      </w:r>
      <w:r>
        <w:t xml:space="preserve"> </w:t>
      </w:r>
      <w:r>
        <w:rPr>
          <w:rStyle w:val="VerbatimChar"/>
        </w:rPr>
        <w:t xml:space="preserve">distance</w:t>
      </w:r>
      <w:r>
        <w:t xml:space="preserve"> </w:t>
      </w:r>
      <w:r>
        <w:t xml:space="preserve">field. Assign distinct fill colors to each ring (e.g., dark red for 0–500 m, orange for 500–1000 m, yellow for 1000–2000 m). Set fill opacity to 40% so block groups show through.</w:t>
      </w:r>
    </w:p>
    <w:p>
      <w:pPr>
        <w:numPr>
          <w:ilvl w:val="0"/>
          <w:numId w:val="1017"/>
        </w:numPr>
      </w:pPr>
      <w:r>
        <w:t xml:space="preserve">Symbolize</w:t>
      </w:r>
      <w:r>
        <w:t xml:space="preserve"> </w:t>
      </w:r>
      <w:r>
        <w:rPr>
          <w:rStyle w:val="VerbatimChar"/>
        </w:rPr>
        <w:t xml:space="preserve">phl_blockgroups_acs</w:t>
      </w:r>
      <w:r>
        <w:t xml:space="preserve"> </w:t>
      </w:r>
      <w:r>
        <w:t xml:space="preserve">using</w:t>
      </w:r>
      <w:r>
        <w:t xml:space="preserve"> </w:t>
      </w:r>
      <w:r>
        <w:rPr>
          <w:b/>
        </w:rPr>
        <w:t xml:space="preserve">Graduated Colors</w:t>
      </w:r>
      <w:r>
        <w:t xml:space="preserve"> </w:t>
      </w:r>
      <w:r>
        <w:t xml:space="preserve">on a percent non-White field. Add a field</w:t>
      </w:r>
      <w:r>
        <w:t xml:space="preserve"> </w:t>
      </w:r>
      <w:r>
        <w:rPr>
          <w:rStyle w:val="VerbatimChar"/>
        </w:rPr>
        <w:t xml:space="preserve">PCT_NONWHITE</w:t>
      </w:r>
      <w:r>
        <w:t xml:space="preserve"> </w:t>
      </w:r>
      <w:r>
        <w:t xml:space="preserve">via Field Calculator:</w:t>
      </w:r>
      <w:r>
        <w:t xml:space="preserve"> </w:t>
      </w:r>
      <w:r>
        <w:rPr>
          <w:rStyle w:val="VerbatimChar"/>
        </w:rPr>
        <w:t xml:space="preserve">(!TOTPOP! - !NH_WHITE!) / !TOTPOP! * 100</w:t>
      </w:r>
      <w:r>
        <w:t xml:space="preserve">. Use a light-to-dark sequential ramp with 5 classes (Natural Breaks).</w:t>
      </w:r>
    </w:p>
    <w:p>
      <w:pPr>
        <w:numPr>
          <w:ilvl w:val="0"/>
          <w:numId w:val="1017"/>
        </w:numPr>
      </w:pPr>
      <w:r>
        <w:t xml:space="preserve">Symbolize TRI facility points with a distinct symbol (e.g., black circle, size 8 pt).</w:t>
      </w:r>
    </w:p>
    <w:p>
      <w:pPr>
        <w:numPr>
          <w:ilvl w:val="0"/>
          <w:numId w:val="1017"/>
        </w:numPr>
      </w:pPr>
      <w:r>
        <w:t xml:space="preserve">On the</w:t>
      </w:r>
      <w:r>
        <w:t xml:space="preserve"> </w:t>
      </w:r>
      <w:r>
        <w:rPr>
          <w:b/>
        </w:rPr>
        <w:t xml:space="preserve">Insert</w:t>
      </w:r>
      <w:r>
        <w:t xml:space="preserve"> </w:t>
      </w:r>
      <w:r>
        <w:t xml:space="preserve">tab, click</w:t>
      </w:r>
      <w:r>
        <w:t xml:space="preserve"> </w:t>
      </w:r>
      <w:r>
        <w:rPr>
          <w:b/>
        </w:rPr>
        <w:t xml:space="preserve">New Layout</w:t>
      </w:r>
      <w:r>
        <w:t xml:space="preserve"> </w:t>
      </w:r>
      <w:r>
        <w:t xml:space="preserve">and choose a letter-sized landscape layout.</w:t>
      </w:r>
    </w:p>
    <w:p>
      <w:pPr>
        <w:numPr>
          <w:ilvl w:val="0"/>
          <w:numId w:val="1017"/>
        </w:numPr>
      </w:pPr>
      <w:r>
        <w:t xml:space="preserve">Add the map frame, then add: a title, legend, north arrow, scale bar, and a text box crediting EPA TRI and ACS data.</w:t>
      </w:r>
    </w:p>
    <w:p>
      <w:pPr>
        <w:pStyle w:val="FirstParagraph"/>
      </w:pPr>
      <w:r>
        <w:rPr>
          <w:i/>
        </w:rPr>
        <w:t xml:space="preserve">[Figure: Final map layout showing Philadelphia block groups shaded by percent non-White, with three concentric TRI buffer rings and facility points]</w:t>
      </w:r>
    </w:p>
    <w:p>
      <w:pPr>
        <w:numPr>
          <w:ilvl w:val="0"/>
          <w:numId w:val="1018"/>
        </w:numPr>
        <w:pStyle w:val="Compact"/>
      </w:pPr>
      <w:r>
        <w:t xml:space="preserve">Export the layout:</w:t>
      </w:r>
      <w:r>
        <w:t xml:space="preserve"> </w:t>
      </w:r>
      <w:r>
        <w:rPr>
          <w:b/>
        </w:rPr>
        <w:t xml:space="preserve">Share</w:t>
      </w:r>
      <w:r>
        <w:t xml:space="preserve"> </w:t>
      </w:r>
      <w:r>
        <w:t xml:space="preserve">tab →</w:t>
      </w:r>
      <w:r>
        <w:t xml:space="preserve"> </w:t>
      </w:r>
      <w:r>
        <w:rPr>
          <w:b/>
        </w:rPr>
        <w:t xml:space="preserve">Export Layout</w:t>
      </w:r>
      <w:r>
        <w:t xml:space="preserve"> </w:t>
      </w:r>
      <w:r>
        <w:t xml:space="preserve">→ PDF. Name it</w:t>
      </w:r>
      <w:r>
        <w:t xml:space="preserve"> </w:t>
      </w:r>
      <w:r>
        <w:rPr>
          <w:rStyle w:val="VerbatimChar"/>
        </w:rPr>
        <w:t xml:space="preserve">Lab03b_TRI_map.pdf</w:t>
      </w:r>
      <w:r>
        <w:t xml:space="preserve">.</w:t>
      </w:r>
    </w:p>
    <w:p>
      <w:r>
        <w:pict>
          <v:rect style="width:0;height:1.5pt" o:hralign="center" o:hrstd="t" o:hr="t"/>
        </w:pict>
      </w:r>
    </w:p>
    <w:p>
      <w:pPr>
        <w:pStyle w:val="Heading2"/>
      </w:pPr>
      <w:bookmarkStart w:id="34" w:name="deliverables"/>
      <w:r>
        <w:t xml:space="preserve">Deliverables</w:t>
      </w:r>
      <w:bookmarkEnd w:id="34"/>
    </w:p>
    <w:p>
      <w:pPr>
        <w:pStyle w:val="FirstParagraph"/>
      </w:pPr>
      <w:r>
        <w:t xml:space="preserve">Submit the following to the course portal:</w:t>
      </w:r>
    </w:p>
    <w:p>
      <w:pPr>
        <w:numPr>
          <w:ilvl w:val="0"/>
          <w:numId w:val="1019"/>
        </w:numPr>
        <w:pStyle w:val="Compact"/>
      </w:pPr>
      <w:r>
        <w:rPr>
          <w:b/>
        </w:rPr>
        <w:t xml:space="preserve">Map PDF</w:t>
      </w:r>
      <w:r>
        <w:t xml:space="preserve"> </w:t>
      </w:r>
      <w:r>
        <w:t xml:space="preserve">(</w:t>
      </w:r>
      <w:r>
        <w:rPr>
          <w:rStyle w:val="VerbatimChar"/>
        </w:rPr>
        <w:t xml:space="preserve">Lab03b_TRI_map.pdf</w:t>
      </w:r>
      <w:r>
        <w:t xml:space="preserve">): the buffer ring map described in Part 8.</w:t>
      </w:r>
    </w:p>
    <w:p>
      <w:pPr>
        <w:numPr>
          <w:ilvl w:val="0"/>
          <w:numId w:val="1019"/>
        </w:numPr>
        <w:pStyle w:val="Compact"/>
      </w:pPr>
      <w:r>
        <w:rPr>
          <w:b/>
        </w:rPr>
        <w:t xml:space="preserve">Comparison table</w:t>
      </w:r>
      <w:r>
        <w:t xml:space="preserve">: the completed inside/outside 1 km demographic table from Part 7, pasted into a Word document or included as a screenshot.</w:t>
      </w:r>
    </w:p>
    <w:p>
      <w:pPr>
        <w:numPr>
          <w:ilvl w:val="0"/>
          <w:numId w:val="1019"/>
        </w:numPr>
        <w:pStyle w:val="Compact"/>
      </w:pPr>
      <w:r>
        <w:rPr>
          <w:b/>
        </w:rPr>
        <w:t xml:space="preserve">Written interpretation (100 words)</w:t>
      </w:r>
      <w:r>
        <w:t xml:space="preserve">: Describe what the comparison table shows. Address at least two of the following: (a) direction and magnitude of any racial/ethnic difference; (b) the areal-weighting assumption and why it matters; (c) why proximity does not equal exposure; (d) one alternative analysis that would strengthen the inference.</w:t>
      </w:r>
    </w:p>
    <w:p>
      <w:pPr>
        <w:numPr>
          <w:ilvl w:val="0"/>
          <w:numId w:val="1019"/>
        </w:numPr>
        <w:pStyle w:val="Compact"/>
      </w:pPr>
      <w:r>
        <w:rPr>
          <w:b/>
        </w:rPr>
        <w:t xml:space="preserve">AI-corrected Methods paragraph</w:t>
      </w:r>
      <w:r>
        <w:t xml:space="preserve"> </w:t>
      </w:r>
      <w:r>
        <w:t xml:space="preserve">(see</w:t>
      </w:r>
      <w:r>
        <w:t xml:space="preserve"> </w:t>
      </w:r>
      <w:r>
        <w:t xml:space="preserve">“</w:t>
      </w:r>
      <w:r>
        <w:t xml:space="preserve">Using AI in this lab</w:t>
      </w:r>
      <w:r>
        <w:t xml:space="preserve">”</w:t>
      </w:r>
      <w:r>
        <w:t xml:space="preserve"> </w:t>
      </w:r>
      <w:r>
        <w:t xml:space="preserve">section below): the AI draft plus your tracked-changes corrections.</w:t>
      </w:r>
    </w:p>
    <w:p>
      <w:pPr>
        <w:pStyle w:val="FirstParagraph"/>
      </w:pPr>
      <w:r>
        <w:t xml:space="preserve">Label any AI-assisted output with the notation</w:t>
      </w:r>
      <w:r>
        <w:t xml:space="preserve"> </w:t>
      </w:r>
      <w:r>
        <w:rPr>
          <w:rStyle w:val="VerbatimChar"/>
        </w:rPr>
        <w:t xml:space="preserve">[AI-assisted, reviewed by &lt;your name&gt;]</w:t>
      </w:r>
      <w:r>
        <w:t xml:space="preserve">.</w:t>
      </w:r>
    </w:p>
    <w:p>
      <w:r>
        <w:pict>
          <v:rect style="width:0;height:1.5pt" o:hralign="center" o:hrstd="t" o:hr="t"/>
        </w:pict>
      </w:r>
    </w:p>
    <w:p>
      <w:pPr>
        <w:pStyle w:val="Heading2"/>
      </w:pPr>
      <w:bookmarkStart w:id="35" w:name="using-ai-in-this-lab"/>
      <w:r>
        <w:t xml:space="preserve">Using AI in this lab</w:t>
      </w:r>
      <w:bookmarkEnd w:id="35"/>
    </w:p>
    <w:p>
      <w:pPr>
        <w:pStyle w:val="FirstParagraph"/>
      </w:pPr>
      <w:r>
        <w:rPr>
          <w:b/>
        </w:rPr>
        <w:t xml:space="preserve">Bounded task — draft a Methods paragraph, then fix it.</w:t>
      </w:r>
    </w:p>
    <w:p>
      <w:pPr>
        <w:pStyle w:val="BodyText"/>
      </w:pPr>
      <w:r>
        <w:t xml:space="preserve">After you complete Part 7 and fill in your comparison table, paste the table values into Claude (claude.ai) or another AI assistant with this prompt:</w:t>
      </w:r>
    </w:p>
    <w:p>
      <w:pPr>
        <w:pStyle w:val="BlockText"/>
      </w:pPr>
      <w:r>
        <w:t xml:space="preserve">“</w:t>
      </w:r>
      <w:r>
        <w:t xml:space="preserve">I ran a buffer-and-overlay analysis in ArcGIS Pro to compare racial/ethnic composition inside versus outside 1 km of EPA Toxic Release Inventory facilities in Philadelphia. Here are my summary counts: [paste your table]. Write a 150-word Methods paragraph suitable for a community health report, describing what I did and what the numbers show.</w:t>
      </w:r>
      <w:r>
        <w:t xml:space="preserve">”</w:t>
      </w:r>
    </w:p>
    <w:p>
      <w:pPr>
        <w:pStyle w:val="FirstParagraph"/>
      </w:pPr>
      <w:r>
        <w:t xml:space="preserve">Read the AI’s draft carefully. It will likely make one or more of the following errors:</w:t>
      </w:r>
      <w:r>
        <w:t xml:space="preserve"> </w:t>
      </w:r>
      <w:r>
        <w:t xml:space="preserve">- Describe the areal-weighting step as if it produces exact population counts rather than estimates</w:t>
      </w:r>
      <w:r>
        <w:t xml:space="preserve"> </w:t>
      </w:r>
      <w:r>
        <w:t xml:space="preserve">- Omit or minimize the MAUP limitation</w:t>
      </w:r>
      <w:r>
        <w:t xml:space="preserve"> </w:t>
      </w:r>
      <w:r>
        <w:t xml:space="preserve">- Imply that living near a TRI facility means residents are exposed to toxic chemicals</w:t>
      </w:r>
      <w:r>
        <w:t xml:space="preserve"> </w:t>
      </w:r>
      <w:r>
        <w:t xml:space="preserve">- Overstate the strength of the comparison</w:t>
      </w:r>
    </w:p>
    <w:p>
      <w:pPr>
        <w:pStyle w:val="BodyText"/>
      </w:pPr>
      <w:r>
        <w:rPr>
          <w:b/>
        </w:rPr>
        <w:t xml:space="preserve">Your task:</w:t>
      </w:r>
      <w:r>
        <w:t xml:space="preserve"> </w:t>
      </w:r>
      <w:r>
        <w:t xml:space="preserve">In the Word document, paste the AI draft, then use</w:t>
      </w:r>
      <w:r>
        <w:t xml:space="preserve"> </w:t>
      </w:r>
      <w:r>
        <w:rPr>
          <w:b/>
        </w:rPr>
        <w:t xml:space="preserve">Track Changes</w:t>
      </w:r>
      <w:r>
        <w:t xml:space="preserve"> </w:t>
      </w:r>
      <w:r>
        <w:t xml:space="preserve">to correct every error you can identify. Write a one-sentence note after each correction explaining why it was wrong.</w:t>
      </w:r>
    </w:p>
    <w:p>
      <w:pPr>
        <w:pStyle w:val="BodyText"/>
      </w:pPr>
      <w:r>
        <w:rPr>
          <w:b/>
        </w:rPr>
        <w:t xml:space="preserve">Guardrail — AI does not make analytic decisions in this lab.</w:t>
      </w:r>
      <w:r>
        <w:t xml:space="preserve"> </w:t>
      </w:r>
      <w:r>
        <w:t xml:space="preserve">The AI helped you draft a narrative; it did not choose the buffer distances, select the datasets, decide which demographic groups to compare, or interpret the statistical significance of any difference. Those decisions belong to you as the analyst. Never paste identifiable health data or addresses into a public AI tool.</w:t>
      </w:r>
    </w:p>
    <w:p>
      <w:r>
        <w:pict>
          <v:rect style="width:0;height:1.5pt" o:hralign="center" o:hrstd="t" o:hr="t"/>
        </w:pict>
      </w:r>
    </w:p>
    <w:p>
      <w:pPr>
        <w:pStyle w:val="Heading2"/>
      </w:pPr>
      <w:bookmarkStart w:id="36" w:name="qgis-equivalent"/>
      <w:r>
        <w:t xml:space="preserve">QGIS equivalent</w:t>
      </w:r>
      <w:bookmarkEnd w:id="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Pro operation</w:t>
            </w:r>
          </w:p>
        </w:tc>
        <w:tc>
          <w:tcPr>
            <w:tcBorders>
              <w:bottom w:val="single"/>
            </w:tcBorders>
            <w:vAlign w:val="bottom"/>
          </w:tcPr>
          <w:p>
            <w:pPr>
              <w:pStyle w:val="Compact"/>
              <w:jc w:val="left"/>
            </w:pPr>
            <w:r>
              <w:t xml:space="preserve">QGIS equivalent</w:t>
            </w:r>
          </w:p>
        </w:tc>
      </w:tr>
      <w:tr>
        <w:tc>
          <w:p>
            <w:pPr>
              <w:pStyle w:val="Compact"/>
              <w:jc w:val="left"/>
            </w:pPr>
            <w:r>
              <w:t xml:space="preserve">Multiple Ring Buffer</w:t>
            </w:r>
          </w:p>
        </w:tc>
        <w:tc>
          <w:p>
            <w:pPr>
              <w:pStyle w:val="Compact"/>
              <w:jc w:val="left"/>
            </w:pPr>
            <w:r>
              <w:rPr>
                <w:b/>
              </w:rPr>
              <w:t xml:space="preserve">Vector</w:t>
            </w:r>
            <w:r>
              <w:t xml:space="preserve"> </w:t>
            </w:r>
            <w:r>
              <w:t xml:space="preserve">menu →</w:t>
            </w:r>
            <w:r>
              <w:t xml:space="preserve"> </w:t>
            </w:r>
            <w:r>
              <w:rPr>
                <w:b/>
              </w:rPr>
              <w:t xml:space="preserve">Geoprocessing Tools</w:t>
            </w:r>
            <w:r>
              <w:t xml:space="preserve"> </w:t>
            </w:r>
            <w:r>
              <w:t xml:space="preserve">→</w:t>
            </w:r>
            <w:r>
              <w:t xml:space="preserve"> </w:t>
            </w:r>
            <w:r>
              <w:rPr>
                <w:b/>
              </w:rPr>
              <w:t xml:space="preserve">Multi-ring buffer (constant distance)</w:t>
            </w:r>
            <w:r>
              <w:t xml:space="preserve"> </w:t>
            </w:r>
            <w:r>
              <w:t xml:space="preserve">(or MMQGIS plugin)</w:t>
            </w:r>
          </w:p>
        </w:tc>
      </w:tr>
      <w:tr>
        <w:tc>
          <w:p>
            <w:pPr>
              <w:pStyle w:val="Compact"/>
              <w:jc w:val="left"/>
            </w:pPr>
            <w:r>
              <w:t xml:space="preserve">Intersect</w:t>
            </w:r>
          </w:p>
        </w:tc>
        <w:tc>
          <w:p>
            <w:pPr>
              <w:pStyle w:val="Compact"/>
              <w:jc w:val="left"/>
            </w:pPr>
            <w:r>
              <w:rPr>
                <w:b/>
              </w:rPr>
              <w:t xml:space="preserve">Vector</w:t>
            </w:r>
            <w:r>
              <w:t xml:space="preserve"> </w:t>
            </w:r>
            <w:r>
              <w:t xml:space="preserve">→</w:t>
            </w:r>
            <w:r>
              <w:t xml:space="preserve"> </w:t>
            </w:r>
            <w:r>
              <w:rPr>
                <w:b/>
              </w:rPr>
              <w:t xml:space="preserve">Geoprocessing Tools</w:t>
            </w:r>
            <w:r>
              <w:t xml:space="preserve"> </w:t>
            </w:r>
            <w:r>
              <w:t xml:space="preserve">→</w:t>
            </w:r>
            <w:r>
              <w:t xml:space="preserve"> </w:t>
            </w:r>
            <w:r>
              <w:rPr>
                <w:b/>
              </w:rPr>
              <w:t xml:space="preserve">Intersection</w:t>
            </w:r>
          </w:p>
        </w:tc>
      </w:tr>
      <w:tr>
        <w:tc>
          <w:p>
            <w:pPr>
              <w:pStyle w:val="Compact"/>
              <w:jc w:val="left"/>
            </w:pPr>
            <w:r>
              <w:t xml:space="preserve">Select By Location</w:t>
            </w:r>
          </w:p>
        </w:tc>
        <w:tc>
          <w:p>
            <w:pPr>
              <w:pStyle w:val="Compact"/>
              <w:jc w:val="left"/>
            </w:pPr>
            <w:r>
              <w:rPr>
                <w:b/>
              </w:rPr>
              <w:t xml:space="preserve">Vector</w:t>
            </w:r>
            <w:r>
              <w:t xml:space="preserve"> </w:t>
            </w:r>
            <w:r>
              <w:t xml:space="preserve">→</w:t>
            </w:r>
            <w:r>
              <w:t xml:space="preserve"> </w:t>
            </w:r>
            <w:r>
              <w:rPr>
                <w:b/>
              </w:rPr>
              <w:t xml:space="preserve">Research Tools</w:t>
            </w:r>
            <w:r>
              <w:t xml:space="preserve"> </w:t>
            </w:r>
            <w:r>
              <w:t xml:space="preserve">→</w:t>
            </w:r>
            <w:r>
              <w:t xml:space="preserve"> </w:t>
            </w:r>
            <w:r>
              <w:rPr>
                <w:b/>
              </w:rPr>
              <w:t xml:space="preserve">Select by Location</w:t>
            </w:r>
          </w:p>
        </w:tc>
      </w:tr>
      <w:tr>
        <w:tc>
          <w:p>
            <w:pPr>
              <w:pStyle w:val="Compact"/>
              <w:jc w:val="left"/>
            </w:pPr>
            <w:r>
              <w:t xml:space="preserve">Erase</w:t>
            </w:r>
          </w:p>
        </w:tc>
        <w:tc>
          <w:p>
            <w:pPr>
              <w:pStyle w:val="Compact"/>
              <w:jc w:val="left"/>
            </w:pPr>
            <w:r>
              <w:rPr>
                <w:b/>
              </w:rPr>
              <w:t xml:space="preserve">Vector</w:t>
            </w:r>
            <w:r>
              <w:t xml:space="preserve"> </w:t>
            </w:r>
            <w:r>
              <w:t xml:space="preserve">→</w:t>
            </w:r>
            <w:r>
              <w:t xml:space="preserve"> </w:t>
            </w:r>
            <w:r>
              <w:rPr>
                <w:b/>
              </w:rPr>
              <w:t xml:space="preserve">Geoprocessing Tools</w:t>
            </w:r>
            <w:r>
              <w:t xml:space="preserve"> </w:t>
            </w:r>
            <w:r>
              <w:t xml:space="preserve">→</w:t>
            </w:r>
            <w:r>
              <w:t xml:space="preserve"> </w:t>
            </w:r>
            <w:r>
              <w:rPr>
                <w:b/>
              </w:rPr>
              <w:t xml:space="preserve">Difference</w:t>
            </w:r>
            <w:r>
              <w:t xml:space="preserve"> </w:t>
            </w:r>
            <w:r>
              <w:t xml:space="preserve">(input = full BG layer; overlay = inside-1km layer)</w:t>
            </w:r>
          </w:p>
        </w:tc>
      </w:tr>
      <w:tr>
        <w:tc>
          <w:p>
            <w:pPr>
              <w:pStyle w:val="Compact"/>
              <w:jc w:val="left"/>
            </w:pPr>
            <w:r>
              <w:t xml:space="preserve">Summary Statistics</w:t>
            </w:r>
          </w:p>
        </w:tc>
        <w:tc>
          <w:p>
            <w:pPr>
              <w:pStyle w:val="Compact"/>
              <w:jc w:val="left"/>
            </w:pPr>
            <w:r>
              <w:rPr>
                <w:b/>
              </w:rPr>
              <w:t xml:space="preserve">Vector</w:t>
            </w:r>
            <w:r>
              <w:t xml:space="preserve"> </w:t>
            </w:r>
            <w:r>
              <w:t xml:space="preserve">→</w:t>
            </w:r>
            <w:r>
              <w:t xml:space="preserve"> </w:t>
            </w:r>
            <w:r>
              <w:rPr>
                <w:b/>
              </w:rPr>
              <w:t xml:space="preserve">Analysis Tools</w:t>
            </w:r>
            <w:r>
              <w:t xml:space="preserve"> </w:t>
            </w:r>
            <w:r>
              <w:t xml:space="preserve">→</w:t>
            </w:r>
            <w:r>
              <w:t xml:space="preserve"> </w:t>
            </w:r>
            <w:r>
              <w:rPr>
                <w:b/>
              </w:rPr>
              <w:t xml:space="preserve">Basic Statistics for Fields</w:t>
            </w:r>
            <w:r>
              <w:t xml:space="preserve">; or use the</w:t>
            </w:r>
            <w:r>
              <w:t xml:space="preserve"> </w:t>
            </w:r>
            <w:r>
              <w:rPr>
                <w:b/>
              </w:rPr>
              <w:t xml:space="preserve">Statistics</w:t>
            </w:r>
            <w:r>
              <w:t xml:space="preserve"> </w:t>
            </w:r>
            <w:r>
              <w:t xml:space="preserve">panel; for grouped sums use</w:t>
            </w:r>
            <w:r>
              <w:t xml:space="preserve"> </w:t>
            </w:r>
            <w:r>
              <w:rPr>
                <w:b/>
              </w:rPr>
              <w:t xml:space="preserve">Group Stats</w:t>
            </w:r>
            <w:r>
              <w:t xml:space="preserve"> </w:t>
            </w:r>
            <w:r>
              <w:t xml:space="preserve">plugin</w:t>
            </w:r>
          </w:p>
        </w:tc>
      </w:tr>
      <w:tr>
        <w:tc>
          <w:p>
            <w:pPr>
              <w:pStyle w:val="Compact"/>
              <w:jc w:val="left"/>
            </w:pPr>
            <w:r>
              <w:t xml:space="preserve">Calculate Geometry (area)</w:t>
            </w:r>
          </w:p>
        </w:tc>
        <w:tc>
          <w:p>
            <w:pPr>
              <w:pStyle w:val="Compact"/>
              <w:jc w:val="left"/>
            </w:pPr>
            <w:r>
              <w:rPr>
                <w:b/>
              </w:rPr>
              <w:t xml:space="preserve">Open Layer Properties</w:t>
            </w:r>
            <w:r>
              <w:t xml:space="preserve"> </w:t>
            </w:r>
            <w:r>
              <w:t xml:space="preserve">→</w:t>
            </w:r>
            <w:r>
              <w:t xml:space="preserve"> </w:t>
            </w:r>
            <w:r>
              <w:rPr>
                <w:b/>
              </w:rPr>
              <w:t xml:space="preserve">Fields</w:t>
            </w:r>
            <w:r>
              <w:t xml:space="preserve"> </w:t>
            </w:r>
            <w:r>
              <w:t xml:space="preserve">tab → add a virtual field with expression</w:t>
            </w:r>
            <w:r>
              <w:t xml:space="preserve"> </w:t>
            </w:r>
            <w:r>
              <w:rPr>
                <w:rStyle w:val="VerbatimChar"/>
              </w:rPr>
              <w:t xml:space="preserve">$area</w:t>
            </w:r>
            <w:r>
              <w:t xml:space="preserve">; or field calculator →</w:t>
            </w:r>
            <w:r>
              <w:t xml:space="preserve"> </w:t>
            </w:r>
            <w:r>
              <w:rPr>
                <w:rStyle w:val="VerbatimChar"/>
              </w:rPr>
              <w:t xml:space="preserve">$area</w:t>
            </w:r>
          </w:p>
        </w:tc>
      </w:tr>
      <w:tr>
        <w:tc>
          <w:p>
            <w:pPr>
              <w:pStyle w:val="Compact"/>
              <w:jc w:val="left"/>
            </w:pPr>
            <w:r>
              <w:t xml:space="preserve">Field Calculator</w:t>
            </w:r>
          </w:p>
        </w:tc>
        <w:tc>
          <w:p>
            <w:pPr>
              <w:pStyle w:val="Compact"/>
              <w:jc w:val="left"/>
            </w:pPr>
            <w:r>
              <w:rPr>
                <w:b/>
              </w:rPr>
              <w:t xml:space="preserve">Field Calculator</w:t>
            </w:r>
            <w:r>
              <w:t xml:space="preserve"> </w:t>
            </w:r>
            <w:r>
              <w:t xml:space="preserve">(pencil icon in attribute table) — expressions use</w:t>
            </w:r>
            <w:r>
              <w:t xml:space="preserve"> </w:t>
            </w:r>
            <w:r>
              <w:rPr>
                <w:rStyle w:val="VerbatimChar"/>
              </w:rPr>
              <w:t xml:space="preserve">"fieldname"</w:t>
            </w:r>
            <w:r>
              <w:t xml:space="preserve"> </w:t>
            </w:r>
            <w:r>
              <w:t xml:space="preserve">syntax rather than</w:t>
            </w:r>
            <w:r>
              <w:t xml:space="preserve"> </w:t>
            </w:r>
            <w:r>
              <w:rPr>
                <w:rStyle w:val="VerbatimChar"/>
              </w:rPr>
              <w:t xml:space="preserve">!fieldname!</w:t>
            </w:r>
          </w:p>
        </w:tc>
      </w:tr>
    </w:tbl>
    <w:p>
      <w:pPr>
        <w:pStyle w:val="BodyText"/>
      </w:pPr>
      <w:r>
        <w:t xml:space="preserve">QGIS performs all the same operations and produces equivalent results. The Difference tool in QGIS is the exact equivalent of Erase in ArcGIS Pro.</w:t>
      </w:r>
    </w:p>
    <w:p>
      <w:r>
        <w:pict>
          <v:rect style="width:0;height:1.5pt" o:hralign="center" o:hrstd="t" o:hr="t"/>
        </w:pict>
      </w:r>
    </w:p>
    <w:p>
      <w:pPr>
        <w:pStyle w:val="Heading2"/>
      </w:pPr>
      <w:bookmarkStart w:id="37" w:name="check-your-understanding"/>
      <w:r>
        <w:t xml:space="preserve">Check your understanding</w:t>
      </w:r>
      <w:bookmarkEnd w:id="37"/>
    </w:p>
    <w:p>
      <w:pPr>
        <w:numPr>
          <w:ilvl w:val="0"/>
          <w:numId w:val="1020"/>
        </w:numPr>
      </w:pPr>
      <w:r>
        <w:t xml:space="preserve">You open</w:t>
      </w:r>
      <w:r>
        <w:t xml:space="preserve"> </w:t>
      </w:r>
      <w:r>
        <w:rPr>
          <w:rStyle w:val="VerbatimChar"/>
        </w:rPr>
        <w:t xml:space="preserve">phl_TRI_facilities.shp</w:t>
      </w:r>
      <w:r>
        <w:t xml:space="preserve"> </w:t>
      </w:r>
      <w:r>
        <w:t xml:space="preserve">and the CRS shows GCS WGS 1984 (EPSG:4326). You run</w:t>
      </w:r>
      <w:r>
        <w:t xml:space="preserve"> </w:t>
      </w:r>
      <w:r>
        <w:rPr>
          <w:b/>
        </w:rPr>
        <w:t xml:space="preserve">Multiple Ring Buffer</w:t>
      </w:r>
      <w:r>
        <w:t xml:space="preserve"> </w:t>
      </w:r>
      <w:r>
        <w:t xml:space="preserve">with distances of 500, 1000, and 2000. What is wrong with the result, and how do you fix it?</w:t>
      </w:r>
    </w:p>
    <w:p>
      <w:pPr>
        <w:numPr>
          <w:ilvl w:val="0"/>
          <w:numId w:val="1020"/>
        </w:numPr>
      </w:pPr>
      <w:r>
        <w:t xml:space="preserve">After running</w:t>
      </w:r>
      <w:r>
        <w:t xml:space="preserve"> </w:t>
      </w:r>
      <w:r>
        <w:rPr>
          <w:b/>
        </w:rPr>
        <w:t xml:space="preserve">Intersect</w:t>
      </w:r>
      <w:r>
        <w:t xml:space="preserve"> </w:t>
      </w:r>
      <w:r>
        <w:t xml:space="preserve">between the buffer rings and the block groups, a colleague says:</w:t>
      </w:r>
      <w:r>
        <w:t xml:space="preserve"> </w:t>
      </w:r>
      <w:r>
        <w:t xml:space="preserve">“</w:t>
      </w:r>
      <w:r>
        <w:t xml:space="preserve">Great — now we can just sum</w:t>
      </w:r>
      <w:r>
        <w:t xml:space="preserve"> </w:t>
      </w:r>
      <w:r>
        <w:rPr>
          <w:rStyle w:val="VerbatimChar"/>
        </w:rPr>
        <w:t xml:space="preserve">TOTPOP</w:t>
      </w:r>
      <w:r>
        <w:t xml:space="preserve"> </w:t>
      </w:r>
      <w:r>
        <w:t xml:space="preserve">for all block-group fragments inside the 0–500 m ring to get the total population.</w:t>
      </w:r>
      <w:r>
        <w:t xml:space="preserve">”</w:t>
      </w:r>
      <w:r>
        <w:t xml:space="preserve"> </w:t>
      </w:r>
      <w:r>
        <w:t xml:space="preserve">What is wrong with this approach, and what should you do instead?</w:t>
      </w:r>
    </w:p>
    <w:p>
      <w:pPr>
        <w:numPr>
          <w:ilvl w:val="0"/>
          <w:numId w:val="1020"/>
        </w:numPr>
      </w:pPr>
      <w:r>
        <w:t xml:space="preserve">The areal-weighting method assumes population is uniformly distributed within each block group. Describe one real-world situation in Philadelphia where this assumption would lead to a large overestimate of population within the 0–500 m ring.</w:t>
      </w:r>
    </w:p>
    <w:p>
      <w:pPr>
        <w:numPr>
          <w:ilvl w:val="0"/>
          <w:numId w:val="1020"/>
        </w:numPr>
      </w:pPr>
      <w:r>
        <w:t xml:space="preserve">A classmate argues:</w:t>
      </w:r>
      <w:r>
        <w:t xml:space="preserve"> </w:t>
      </w:r>
      <w:r>
        <w:t xml:space="preserve">“</w:t>
      </w:r>
      <w:r>
        <w:t xml:space="preserve">Our table shows that 60% of people within 1 km of TRI facilities are non-White, but only 38% of people outside 1 km are non-White. This proves those facilities cause harm to communities of color.</w:t>
      </w:r>
      <w:r>
        <w:t xml:space="preserve">”</w:t>
      </w:r>
      <w:r>
        <w:t xml:space="preserve"> </w:t>
      </w:r>
      <w:r>
        <w:t xml:space="preserve">Identify two specific methodological problems with this causal claim.</w:t>
      </w:r>
    </w:p>
    <w:p>
      <w:pPr>
        <w:numPr>
          <w:ilvl w:val="0"/>
          <w:numId w:val="1020"/>
        </w:numPr>
      </w:pPr>
      <w:r>
        <w:t xml:space="preserve">In Part 6, you used</w:t>
      </w:r>
      <w:r>
        <w:t xml:space="preserve"> </w:t>
      </w:r>
      <w:r>
        <w:rPr>
          <w:b/>
        </w:rPr>
        <w:t xml:space="preserve">Erase</w:t>
      </w:r>
      <w:r>
        <w:t xml:space="preserve"> </w:t>
      </w:r>
      <w:r>
        <w:t xml:space="preserve">to create the</w:t>
      </w:r>
      <w:r>
        <w:t xml:space="preserve"> </w:t>
      </w:r>
      <w:r>
        <w:t xml:space="preserve">“</w:t>
      </w:r>
      <w:r>
        <w:t xml:space="preserve">outside 1 km</w:t>
      </w:r>
      <w:r>
        <w:t xml:space="preserve">”</w:t>
      </w:r>
      <w:r>
        <w:t xml:space="preserve"> </w:t>
      </w:r>
      <w:r>
        <w:t xml:space="preserve">set using full block groups, not areal-weighted fragments. How would your Summary Statistics results change if you had instead used block-group fragments clipped to the area outside the 1 km ring? Which approach is more appropriate for the comparison table, and why?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5">
    <w:nsid w:val="b3cbbdee"/>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7">
    <w:nsid w:val="4fbe019a"/>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2026-06-09T17:17:37Z</dcterms:created>
  <dcterms:modified xsi:type="dcterms:W3CDTF">2026-06-09T17:17:37Z</dcterms:modified>
</cp:coreProperties>
</file>

<file path=docProps/custom.xml><?xml version="1.0" encoding="utf-8"?>
<Properties xmlns="http://schemas.openxmlformats.org/officeDocument/2006/custom-properties" xmlns:vt="http://schemas.openxmlformats.org/officeDocument/2006/docPropsVTypes"/>
</file>