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7c1df60b879c76afdebe0688f5e70143699b99"/>
      <w:r>
        <w:t xml:space="preserve">Lab 4a: Network Analysis for Healthcare Access</w:t>
      </w:r>
      <w:bookmarkEnd w:id="20"/>
    </w:p>
    <w:p>
      <w:pPr>
        <w:pStyle w:val="FirstParagraph"/>
      </w:pPr>
      <w:r>
        <w:rPr>
          <w:i/>
        </w:rPr>
        <w:t xml:space="preserve">Intro GIS for Public Health · ArcGIS Pro · Day 4</w:t>
      </w:r>
    </w:p>
    <w:p>
      <w:pPr>
        <w:pStyle w:val="Heading2"/>
      </w:pPr>
      <w:bookmarkStart w:id="21" w:name="public-health-question"/>
      <w:r>
        <w:t xml:space="preserve">Public health question</w:t>
      </w:r>
      <w:bookmarkEnd w:id="21"/>
    </w:p>
    <w:p>
      <w:pPr>
        <w:pStyle w:val="FirstParagraph"/>
      </w:pPr>
      <w:r>
        <w:t xml:space="preserve">Federally Qualified Health Centers (FQHCs) are a primary safety-net resource for uninsured and underinsured Philadelphians. But proximity on a map does not equal access. If residents cannot reach an FQHC within a reasonable travel time, that center does not serve them in practice. This lab asks: what share of West Philadelphia residents live more than a 15-minute drive from the nearest FQHC? And which residential areas fall entirely outside reasonable service reach?</w:t>
      </w:r>
    </w:p>
    <w:p>
      <w:pPr>
        <w:pStyle w:val="Heading2"/>
      </w:pPr>
      <w:bookmarkStart w:id="22" w:name="what-you-will-learn"/>
      <w:r>
        <w:t xml:space="preserve">What you will learn</w:t>
      </w:r>
      <w:bookmarkEnd w:id="22"/>
    </w:p>
    <w:p>
      <w:pPr>
        <w:numPr>
          <w:ilvl w:val="0"/>
          <w:numId w:val="1001"/>
        </w:numPr>
        <w:pStyle w:val="Compact"/>
      </w:pPr>
      <w:r>
        <w:t xml:space="preserve">Enable the Network Analyst extension in ArcGIS Pro</w:t>
      </w:r>
    </w:p>
    <w:p>
      <w:pPr>
        <w:numPr>
          <w:ilvl w:val="0"/>
          <w:numId w:val="1001"/>
        </w:numPr>
        <w:pStyle w:val="Compact"/>
      </w:pPr>
      <w:r>
        <w:t xml:space="preserve">Distinguish between a straight-line buffer and a network service area (isochrone)</w:t>
      </w:r>
    </w:p>
    <w:p>
      <w:pPr>
        <w:numPr>
          <w:ilvl w:val="0"/>
          <w:numId w:val="1001"/>
        </w:numPr>
        <w:pStyle w:val="Compact"/>
      </w:pPr>
      <w:r>
        <w:t xml:space="preserve">Create a Service Area analysis layer and set time-based cutoffs</w:t>
      </w:r>
    </w:p>
    <w:p>
      <w:pPr>
        <w:numPr>
          <w:ilvl w:val="0"/>
          <w:numId w:val="1001"/>
        </w:numPr>
        <w:pStyle w:val="Compact"/>
      </w:pPr>
      <w:r>
        <w:t xml:space="preserve">Load point features as Facilities in a network analysis layer</w:t>
      </w:r>
    </w:p>
    <w:p>
      <w:pPr>
        <w:numPr>
          <w:ilvl w:val="0"/>
          <w:numId w:val="1001"/>
        </w:numPr>
        <w:pStyle w:val="Compact"/>
      </w:pPr>
      <w:r>
        <w:t xml:space="preserve">Run a Closest Facility analysis to link sample resident points to their nearest FQHC</w:t>
      </w:r>
    </w:p>
    <w:p>
      <w:pPr>
        <w:numPr>
          <w:ilvl w:val="0"/>
          <w:numId w:val="1001"/>
        </w:numPr>
        <w:pStyle w:val="Compact"/>
      </w:pPr>
      <w:r>
        <w:t xml:space="preserve">Trace a single Route between two points</w:t>
      </w:r>
    </w:p>
    <w:p>
      <w:pPr>
        <w:numPr>
          <w:ilvl w:val="0"/>
          <w:numId w:val="1001"/>
        </w:numPr>
        <w:pStyle w:val="Compact"/>
      </w:pPr>
      <w:r>
        <w:t xml:space="preserve">Overlay service-area polygons with tract population data to estimate uncovered population</w:t>
      </w:r>
    </w:p>
    <w:p>
      <w:pPr>
        <w:pStyle w:val="Heading2"/>
      </w:pPr>
      <w:bookmarkStart w:id="23" w:name="what-you-will-produce"/>
      <w:r>
        <w:t xml:space="preserve">What you will produce</w:t>
      </w:r>
      <w:bookmarkEnd w:id="23"/>
    </w:p>
    <w:p>
      <w:pPr>
        <w:numPr>
          <w:ilvl w:val="0"/>
          <w:numId w:val="1002"/>
        </w:numPr>
        <w:pStyle w:val="Compact"/>
      </w:pPr>
      <w:r>
        <w:t xml:space="preserve">A map showing 15-, 30-, and 45-minute drive-time service areas (isochrones) around all Philadelphia FQHCs, symbolized by ring with a clear legend</w:t>
      </w:r>
    </w:p>
    <w:p>
      <w:pPr>
        <w:numPr>
          <w:ilvl w:val="0"/>
          <w:numId w:val="1002"/>
        </w:numPr>
        <w:pStyle w:val="Compact"/>
      </w:pPr>
      <w:r>
        <w:t xml:space="preserve">A Closest Facility result layer connecting a sample of residential points to their nearest FQHC, with travel-time attribute</w:t>
      </w:r>
    </w:p>
    <w:p>
      <w:pPr>
        <w:numPr>
          <w:ilvl w:val="0"/>
          <w:numId w:val="1002"/>
        </w:numPr>
        <w:pStyle w:val="Compact"/>
      </w:pPr>
      <w:r>
        <w:t xml:space="preserve">A summary table showing estimated tract population falling outside the 15-minute service area</w:t>
      </w:r>
    </w:p>
    <w:p>
      <w:pPr>
        <w:numPr>
          <w:ilvl w:val="0"/>
          <w:numId w:val="1002"/>
        </w:numPr>
        <w:pStyle w:val="Compact"/>
      </w:pPr>
      <w:r>
        <w:t xml:space="preserve">A 150-word written interpretation answering the public health question</w:t>
      </w:r>
    </w:p>
    <w:p>
      <w:pPr>
        <w:pStyle w:val="Heading2"/>
      </w:pPr>
      <w:bookmarkStart w:id="24" w:name="data"/>
      <w:r>
        <w:t xml:space="preserve">Data</w:t>
      </w:r>
      <w:bookmarkEnd w:id="24"/>
    </w:p>
    <w:p>
      <w:pPr>
        <w:pStyle w:val="FirstParagraph"/>
      </w:pPr>
      <w:r>
        <w:t xml:space="preserve">All data below are on the</w:t>
      </w:r>
      <w:r>
        <w:t xml:space="preserve"> </w:t>
      </w:r>
      <w:r>
        <w:rPr>
          <w:b/>
        </w:rPr>
        <w:t xml:space="preserve">W: drive</w:t>
      </w:r>
      <w:r>
        <w:t xml:space="preserve"> </w:t>
      </w:r>
      <w:r>
        <w:t xml:space="preserve">at</w:t>
      </w:r>
      <w:r>
        <w:t xml:space="preserve"> </w:t>
      </w:r>
      <w:r>
        <w:rPr>
          <w:rStyle w:val="VerbatimChar"/>
        </w:rPr>
        <w:t xml:space="preserve">W:\Lab04a\data\</w:t>
      </w:r>
      <w:r>
        <w:t xml:space="preserve">. The W: drive is the course shared storage; substitute the actual path your instructor provides if it differs.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File 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Source</w:t>
            </w:r>
          </w:p>
        </w:tc>
      </w:tr>
      <w:tr>
        <w:tc>
          <w:p>
            <w:pPr>
              <w:pStyle w:val="Compact"/>
              <w:jc w:val="left"/>
            </w:pPr>
            <w:r>
              <w:t xml:space="preserve">FQHC locations</w:t>
            </w:r>
          </w:p>
        </w:tc>
        <w:tc>
          <w:p>
            <w:pPr>
              <w:pStyle w:val="Compact"/>
              <w:jc w:val="left"/>
            </w:pPr>
            <w:r>
              <w:rPr>
                <w:rStyle w:val="VerbatimChar"/>
              </w:rPr>
              <w:t xml:space="preserve">phl_FQHC.shp</w:t>
            </w:r>
          </w:p>
        </w:tc>
        <w:tc>
          <w:p>
            <w:pPr>
              <w:pStyle w:val="Compact"/>
              <w:jc w:val="left"/>
            </w:pPr>
            <w:r>
              <w:t xml:space="preserve">Point locations of Federally Qualified Health Centers in Philadelphia</w:t>
            </w:r>
          </w:p>
        </w:tc>
        <w:tc>
          <w:p>
            <w:pPr>
              <w:pStyle w:val="Compact"/>
              <w:jc w:val="left"/>
            </w:pPr>
            <w:r>
              <w:t xml:space="preserve">HRSA data.hrsa.gov — instructor-provided</w:t>
            </w:r>
          </w:p>
        </w:tc>
      </w:tr>
      <w:tr>
        <w:tc>
          <w:p>
            <w:pPr>
              <w:pStyle w:val="Compact"/>
              <w:jc w:val="left"/>
            </w:pPr>
            <w:r>
              <w:t xml:space="preserve">Street network</w:t>
            </w:r>
          </w:p>
        </w:tc>
        <w:tc>
          <w:p>
            <w:pPr>
              <w:pStyle w:val="Compact"/>
              <w:jc w:val="left"/>
            </w:pPr>
            <w:r>
              <w:rPr>
                <w:rStyle w:val="VerbatimChar"/>
              </w:rPr>
              <w:t xml:space="preserve">PAGIS_StreetNetwork.gdb</w:t>
            </w:r>
            <w:r>
              <w:t xml:space="preserve"> </w:t>
            </w:r>
            <w:r>
              <w:t xml:space="preserve">or ArcGIS Online routing service</w:t>
            </w:r>
          </w:p>
        </w:tc>
        <w:tc>
          <w:p>
            <w:pPr>
              <w:pStyle w:val="Compact"/>
              <w:jc w:val="left"/>
            </w:pPr>
            <w:r>
              <w:t xml:space="preserve">Routable street network for Philadelphia/PA</w:t>
            </w:r>
          </w:p>
        </w:tc>
        <w:tc>
          <w:p>
            <w:pPr>
              <w:pStyle w:val="Compact"/>
              <w:jc w:val="left"/>
            </w:pPr>
            <w:r>
              <w:t xml:space="preserve">PennDOT / instructor-provided (see Part 1)</w:t>
            </w:r>
          </w:p>
        </w:tc>
      </w:tr>
      <w:tr>
        <w:tc>
          <w:p>
            <w:pPr>
              <w:pStyle w:val="Compact"/>
              <w:jc w:val="left"/>
            </w:pPr>
            <w:r>
              <w:t xml:space="preserve">Tract population</w:t>
            </w:r>
          </w:p>
        </w:tc>
        <w:tc>
          <w:p>
            <w:pPr>
              <w:pStyle w:val="Compact"/>
              <w:jc w:val="left"/>
            </w:pPr>
            <w:r>
              <w:rPr>
                <w:rStyle w:val="VerbatimChar"/>
              </w:rPr>
              <w:t xml:space="preserve">phl_tracts_pop.shp</w:t>
            </w:r>
          </w:p>
        </w:tc>
        <w:tc>
          <w:p>
            <w:pPr>
              <w:pStyle w:val="Compact"/>
              <w:jc w:val="left"/>
            </w:pPr>
            <w:r>
              <w:t xml:space="preserve">ACS 5-year tract boundaries with total population field</w:t>
            </w:r>
            <w:r>
              <w:t xml:space="preserve"> </w:t>
            </w:r>
            <w:r>
              <w:rPr>
                <w:rStyle w:val="VerbatimChar"/>
              </w:rPr>
              <w:t xml:space="preserve">TOT_POP</w:t>
            </w:r>
          </w:p>
        </w:tc>
        <w:tc>
          <w:p>
            <w:pPr>
              <w:pStyle w:val="Compact"/>
              <w:jc w:val="left"/>
            </w:pPr>
            <w:r>
              <w:t xml:space="preserve">Census TIGER + ACS — instructor-provided</w:t>
            </w:r>
          </w:p>
        </w:tc>
      </w:tr>
      <w:tr>
        <w:tc>
          <w:p>
            <w:pPr>
              <w:pStyle w:val="Compact"/>
              <w:jc w:val="left"/>
            </w:pPr>
            <w:r>
              <w:t xml:space="preserve">Sample resident points</w:t>
            </w:r>
          </w:p>
        </w:tc>
        <w:tc>
          <w:p>
            <w:pPr>
              <w:pStyle w:val="Compact"/>
              <w:jc w:val="left"/>
            </w:pPr>
            <w:r>
              <w:rPr>
                <w:rStyle w:val="VerbatimChar"/>
              </w:rPr>
              <w:t xml:space="preserve">westphilly_sample_pts.shp</w:t>
            </w:r>
          </w:p>
        </w:tc>
        <w:tc>
          <w:p>
            <w:pPr>
              <w:pStyle w:val="Compact"/>
              <w:jc w:val="left"/>
            </w:pPr>
            <w:r>
              <w:t xml:space="preserve">Random sample of 50 residential address points in West Philadelphia</w:t>
            </w:r>
          </w:p>
        </w:tc>
        <w:tc>
          <w:p>
            <w:pPr>
              <w:pStyle w:val="Compact"/>
              <w:jc w:val="left"/>
            </w:pPr>
            <w:r>
              <w:t xml:space="preserve">Instructor-provided from PASDA address points</w:t>
            </w:r>
          </w:p>
        </w:tc>
      </w:tr>
    </w:tbl>
    <w:p>
      <w:pPr>
        <w:pStyle w:val="BlockText"/>
      </w:pPr>
      <w:r>
        <w:rPr>
          <w:b/>
        </w:rPr>
        <w:t xml:space="preserve">Note:</w:t>
      </w:r>
      <w:r>
        <w:t xml:space="preserve"> </w:t>
      </w:r>
      <w:r>
        <w:t xml:space="preserve">If a local street network dataset is not available on the W: drive, you will use the ArcGIS Online routing service instead. That service requires you to be signed in to your ArcGIS organizational account and consumes credits (approximately 0.5 credits per 1,000 origin-destination pairs for service areas). Confirm with your instructor before running large analyses online.</w:t>
      </w:r>
    </w:p>
    <w:p>
      <w:r>
        <w:pict>
          <v:rect style="width:0;height:1.5pt" o:hralign="center" o:hrstd="t" o:hr="t"/>
        </w:pict>
      </w:r>
    </w:p>
    <w:p>
      <w:pPr>
        <w:pStyle w:val="Heading2"/>
      </w:pPr>
      <w:bookmarkStart w:id="25" w:name="before-you-begin"/>
      <w:r>
        <w:t xml:space="preserve">Before you begin</w:t>
      </w:r>
      <w:bookmarkEnd w:id="25"/>
    </w:p>
    <w:p>
      <w:pPr>
        <w:pStyle w:val="FirstParagraph"/>
      </w:pPr>
      <w:r>
        <w:rPr>
          <w:b/>
        </w:rPr>
        <w:t xml:space="preserve">Prerequisites:</w:t>
      </w:r>
      <w:r>
        <w:t xml:space="preserve"> </w:t>
      </w:r>
      <w:r>
        <w:t xml:space="preserve">Complete Labs 1–3. You should be able to add data to a map, use the Geoprocessing pane, reproject layers, and run Select By Location.</w:t>
      </w:r>
    </w:p>
    <w:p>
      <w:pPr>
        <w:pStyle w:val="BodyText"/>
      </w:pPr>
      <w:r>
        <w:rPr>
          <w:b/>
        </w:rPr>
        <w:t xml:space="preserve">Time estimate:</w:t>
      </w:r>
      <w:r>
        <w:t xml:space="preserve"> </w:t>
      </w:r>
      <w:r>
        <w:t xml:space="preserve">90–120 minutes.</w:t>
      </w:r>
    </w:p>
    <w:p>
      <w:pPr>
        <w:pStyle w:val="BodyText"/>
      </w:pPr>
      <w:r>
        <w:rPr>
          <w:b/>
        </w:rPr>
        <w:t xml:space="preserve">Setup:</w:t>
      </w:r>
      <w:r>
        <w:t xml:space="preserve"> </w:t>
      </w:r>
      <w:r>
        <w:t xml:space="preserve">Open ArcGIS Pro. Create a new project named</w:t>
      </w:r>
      <w:r>
        <w:t xml:space="preserve"> </w:t>
      </w:r>
      <w:r>
        <w:rPr>
          <w:rStyle w:val="VerbatimChar"/>
        </w:rPr>
        <w:t xml:space="preserve">Lab04a_NetworkAccess</w:t>
      </w:r>
      <w:r>
        <w:t xml:space="preserve"> </w:t>
      </w:r>
      <w:r>
        <w:t xml:space="preserve">saved to</w:t>
      </w:r>
      <w:r>
        <w:t xml:space="preserve"> </w:t>
      </w:r>
      <w:r>
        <w:rPr>
          <w:rStyle w:val="VerbatimChar"/>
        </w:rPr>
        <w:t xml:space="preserve">W:\Lab04a\</w:t>
      </w:r>
      <w:r>
        <w:t xml:space="preserve">. The project creates a default file geodatabase (</w:t>
      </w:r>
      <w:r>
        <w:rPr>
          <w:rStyle w:val="VerbatimChar"/>
        </w:rPr>
        <w:t xml:space="preserve">Lab04a_NetworkAccess.gdb</w:t>
      </w:r>
      <w:r>
        <w:t xml:space="preserve">) where your analysis outputs will be stored. Add all four datasets from the W: drive to the map before starting Part 1.</w:t>
      </w:r>
    </w:p>
    <w:p>
      <w:pPr>
        <w:pStyle w:val="BodyText"/>
      </w:pPr>
      <w:r>
        <w:rPr>
          <w:b/>
        </w:rPr>
        <w:t xml:space="preserve">CRS check:</w:t>
      </w:r>
      <w:r>
        <w:t xml:space="preserve"> </w:t>
      </w:r>
      <w:r>
        <w:t xml:space="preserve">Reproject any layer not already in</w:t>
      </w:r>
      <w:r>
        <w:t xml:space="preserve"> </w:t>
      </w:r>
      <w:r>
        <w:rPr>
          <w:b/>
        </w:rPr>
        <w:t xml:space="preserve">NAD83 PA State Plane South (EPSG:2272)</w:t>
      </w:r>
      <w:r>
        <w:t xml:space="preserve"> </w:t>
      </w:r>
      <w:r>
        <w:t xml:space="preserve">using the</w:t>
      </w:r>
      <w:r>
        <w:t xml:space="preserve"> </w:t>
      </w:r>
      <w:r>
        <w:rPr>
          <w:b/>
        </w:rPr>
        <w:t xml:space="preserve">Project</w:t>
      </w:r>
      <w:r>
        <w:t xml:space="preserve"> </w:t>
      </w:r>
      <w:r>
        <w:t xml:space="preserve">tool before running distance-based analyses. Network analysis layers inherit the CRS of the network dataset; the ArcGIS Online service uses WGS84 internally but returns results in the map’s CRS.</w:t>
      </w:r>
    </w:p>
    <w:p>
      <w:r>
        <w:pict>
          <v:rect style="width:0;height:1.5pt" o:hralign="center" o:hrstd="t" o:hr="t"/>
        </w:pict>
      </w:r>
    </w:p>
    <w:p>
      <w:pPr>
        <w:pStyle w:val="Heading2"/>
      </w:pPr>
      <w:bookmarkStart w:id="26" w:name="Xcdc5d8f77750a89cf9e11262a00afbd45500b55"/>
      <w:r>
        <w:t xml:space="preserve">Part 1: Enable the Network Analyst extension and choose your network source</w:t>
      </w:r>
      <w:bookmarkEnd w:id="26"/>
    </w:p>
    <w:p>
      <w:pPr>
        <w:numPr>
          <w:ilvl w:val="0"/>
          <w:numId w:val="1003"/>
        </w:numPr>
        <w:pStyle w:val="Compact"/>
      </w:pPr>
      <w:r>
        <w:t xml:space="preserve">On the ribbon, click the</w:t>
      </w:r>
      <w:r>
        <w:t xml:space="preserve"> </w:t>
      </w:r>
      <w:r>
        <w:rPr>
          <w:b/>
        </w:rPr>
        <w:t xml:space="preserve">Project</w:t>
      </w:r>
      <w:r>
        <w:t xml:space="preserve"> </w:t>
      </w:r>
      <w:r>
        <w:t xml:space="preserve">tab, then click</w:t>
      </w:r>
      <w:r>
        <w:t xml:space="preserve"> </w:t>
      </w:r>
      <w:r>
        <w:rPr>
          <w:b/>
        </w:rPr>
        <w:t xml:space="preserve">Licensing</w:t>
      </w:r>
      <w:r>
        <w:t xml:space="preserve">.</w:t>
      </w:r>
    </w:p>
    <w:p>
      <w:pPr>
        <w:numPr>
          <w:ilvl w:val="0"/>
          <w:numId w:val="1003"/>
        </w:numPr>
        <w:pStyle w:val="Compact"/>
      </w:pPr>
      <w:r>
        <w:t xml:space="preserve">In the list of extensions, locate</w:t>
      </w:r>
      <w:r>
        <w:t xml:space="preserve"> </w:t>
      </w:r>
      <w:r>
        <w:rPr>
          <w:b/>
        </w:rPr>
        <w:t xml:space="preserve">Network Analyst</w:t>
      </w:r>
      <w:r>
        <w:t xml:space="preserve"> </w:t>
      </w:r>
      <w:r>
        <w:t xml:space="preserve">and confirm it shows as authorized. If it is unchecked, check it and click</w:t>
      </w:r>
      <w:r>
        <w:t xml:space="preserve"> </w:t>
      </w:r>
      <w:r>
        <w:rPr>
          <w:b/>
        </w:rPr>
        <w:t xml:space="preserve">OK</w:t>
      </w:r>
      <w:r>
        <w:t xml:space="preserve">.</w:t>
      </w:r>
    </w:p>
    <w:p>
      <w:pPr>
        <w:pStyle w:val="FirstParagraph"/>
      </w:pPr>
      <w:r>
        <w:rPr>
          <w:i/>
        </w:rPr>
        <w:t xml:space="preserve">[Figure: Licensing dialog showing Network Analyst extension checked]</w:t>
      </w:r>
    </w:p>
    <w:p>
      <w:pPr>
        <w:numPr>
          <w:ilvl w:val="0"/>
          <w:numId w:val="1004"/>
        </w:numPr>
        <w:pStyle w:val="Compact"/>
      </w:pPr>
      <w:r>
        <w:t xml:space="preserve">Return to the map. On the ribbon, confirm the</w:t>
      </w:r>
      <w:r>
        <w:t xml:space="preserve"> </w:t>
      </w:r>
      <w:r>
        <w:rPr>
          <w:b/>
        </w:rPr>
        <w:t xml:space="preserve">Analysis</w:t>
      </w:r>
      <w:r>
        <w:t xml:space="preserve"> </w:t>
      </w:r>
      <w:r>
        <w:t xml:space="preserve">tab is visible. Click it. In the</w:t>
      </w:r>
      <w:r>
        <w:t xml:space="preserve"> </w:t>
      </w:r>
      <w:r>
        <w:rPr>
          <w:b/>
        </w:rPr>
        <w:t xml:space="preserve">Workflows</w:t>
      </w:r>
      <w:r>
        <w:t xml:space="preserve"> </w:t>
      </w:r>
      <w:r>
        <w:t xml:space="preserve">group, click the</w:t>
      </w:r>
      <w:r>
        <w:t xml:space="preserve"> </w:t>
      </w:r>
      <w:r>
        <w:rPr>
          <w:b/>
        </w:rPr>
        <w:t xml:space="preserve">Network Analysis</w:t>
      </w:r>
      <w:r>
        <w:t xml:space="preserve"> </w:t>
      </w:r>
      <w:r>
        <w:t xml:space="preserve">dropdown arrow. If the dropdown is grayed out, the extension is not yet active — revisit step 2.</w:t>
      </w:r>
    </w:p>
    <w:p>
      <w:pPr>
        <w:pStyle w:val="FirstParagraph"/>
      </w:pPr>
      <w:r>
        <w:rPr>
          <w:b/>
        </w:rPr>
        <w:t xml:space="preserve">Choose your network source — two options:</w:t>
      </w:r>
    </w:p>
    <w:p>
      <w:pPr>
        <w:pStyle w:val="BodyText"/>
      </w:pPr>
      <w:r>
        <w:rPr>
          <w:i/>
        </w:rPr>
        <w:t xml:space="preserve">Option A — Local network dataset (preferred if provided):</w:t>
      </w:r>
    </w:p>
    <w:p>
      <w:pPr>
        <w:numPr>
          <w:ilvl w:val="0"/>
          <w:numId w:val="1005"/>
        </w:numPr>
        <w:pStyle w:val="Compact"/>
      </w:pPr>
      <w:r>
        <w:t xml:space="preserve">In the</w:t>
      </w:r>
      <w:r>
        <w:t xml:space="preserve"> </w:t>
      </w:r>
      <w:r>
        <w:rPr>
          <w:b/>
        </w:rPr>
        <w:t xml:space="preserve">Catalog</w:t>
      </w:r>
      <w:r>
        <w:t xml:space="preserve"> </w:t>
      </w:r>
      <w:r>
        <w:t xml:space="preserve">pane (right side), expand</w:t>
      </w:r>
      <w:r>
        <w:t xml:space="preserve"> </w:t>
      </w:r>
      <w:r>
        <w:rPr>
          <w:rStyle w:val="VerbatimChar"/>
        </w:rPr>
        <w:t xml:space="preserve">W:\Lab04a\data\PAGIS_StreetNetwork.gdb</w:t>
      </w:r>
      <w:r>
        <w:t xml:space="preserve">. Locate the network dataset (it will have a distinctive network icon, different from a plain feature class).</w:t>
      </w:r>
    </w:p>
    <w:p>
      <w:pPr>
        <w:numPr>
          <w:ilvl w:val="0"/>
          <w:numId w:val="1005"/>
        </w:numPr>
        <w:pStyle w:val="Compact"/>
      </w:pPr>
      <w:r>
        <w:t xml:space="preserve">Note the full path to the network dataset. You will select it when creating analysis layers in Part 2.</w:t>
      </w:r>
    </w:p>
    <w:p>
      <w:pPr>
        <w:pStyle w:val="FirstParagraph"/>
      </w:pPr>
      <w:r>
        <w:rPr>
          <w:i/>
        </w:rPr>
        <w:t xml:space="preserve">Option B — ArcGIS Online routing service:</w:t>
      </w:r>
    </w:p>
    <w:p>
      <w:pPr>
        <w:numPr>
          <w:ilvl w:val="0"/>
          <w:numId w:val="1006"/>
        </w:numPr>
        <w:pStyle w:val="Compact"/>
      </w:pPr>
      <w:r>
        <w:t xml:space="preserve">Confirm you are signed in to your ArcGIS organizational account: click the profile icon at the upper right of the ArcGIS Pro window and verify your username appears.</w:t>
      </w:r>
    </w:p>
    <w:p>
      <w:pPr>
        <w:numPr>
          <w:ilvl w:val="0"/>
          <w:numId w:val="1006"/>
        </w:numPr>
        <w:pStyle w:val="Compact"/>
      </w:pPr>
      <w:r>
        <w:t xml:space="preserve">When creating analysis layers in Part 2, you will select</w:t>
      </w:r>
      <w:r>
        <w:t xml:space="preserve"> </w:t>
      </w:r>
      <w:r>
        <w:rPr>
          <w:b/>
        </w:rPr>
        <w:t xml:space="preserve">My Active Portal</w:t>
      </w:r>
      <w:r>
        <w:t xml:space="preserve"> </w:t>
      </w:r>
      <w:r>
        <w:t xml:space="preserve">as the network source instead of a local dataset. The ArcGIS Online routing service will be used automatically.</w:t>
      </w:r>
    </w:p>
    <w:p>
      <w:pPr>
        <w:pStyle w:val="BlockText"/>
      </w:pPr>
      <w:r>
        <w:rPr>
          <w:b/>
        </w:rPr>
        <w:t xml:space="preserve">Warning:</w:t>
      </w:r>
      <w:r>
        <w:t xml:space="preserve"> </w:t>
      </w:r>
      <w:r>
        <w:t xml:space="preserve">With the ArcGIS Online service, do not click Run repeatedly or set very large cutoffs with many facilities. Each solve consumes credits from your organization’s account. For this lab, one or two solves at the settings specified are fine.</w:t>
      </w:r>
    </w:p>
    <w:p>
      <w:r>
        <w:pict>
          <v:rect style="width:0;height:1.5pt" o:hralign="center" o:hrstd="t" o:hr="t"/>
        </w:pict>
      </w:r>
    </w:p>
    <w:p>
      <w:pPr>
        <w:pStyle w:val="Heading2"/>
      </w:pPr>
      <w:bookmarkStart w:id="27" w:name="X105777473e43747c0ee58bf0423c55ad929ced6"/>
      <w:r>
        <w:t xml:space="preserve">Part 2: Create a Service Area analysis layer</w:t>
      </w:r>
      <w:bookmarkEnd w:id="27"/>
    </w:p>
    <w:p>
      <w:pPr>
        <w:pStyle w:val="FirstParagraph"/>
      </w:pPr>
      <w:r>
        <w:t xml:space="preserve">Service areas (isochrones) show all locations reachable within a given travel time from a facility. A 15-minute service area polygon contains every street segment reachable from the FQHC within 15 minutes of driving.</w:t>
      </w:r>
    </w:p>
    <w:p>
      <w:pPr>
        <w:numPr>
          <w:ilvl w:val="0"/>
          <w:numId w:val="1007"/>
        </w:numPr>
        <w:pStyle w:val="Compact"/>
      </w:pPr>
      <w:r>
        <w:t xml:space="preserve">On the</w:t>
      </w:r>
      <w:r>
        <w:t xml:space="preserve"> </w:t>
      </w:r>
      <w:r>
        <w:rPr>
          <w:b/>
        </w:rPr>
        <w:t xml:space="preserve">Analysis</w:t>
      </w:r>
      <w:r>
        <w:t xml:space="preserve"> </w:t>
      </w:r>
      <w:r>
        <w:t xml:space="preserve">tab, in the</w:t>
      </w:r>
      <w:r>
        <w:t xml:space="preserve"> </w:t>
      </w:r>
      <w:r>
        <w:rPr>
          <w:b/>
        </w:rPr>
        <w:t xml:space="preserve">Workflows</w:t>
      </w:r>
      <w:r>
        <w:t xml:space="preserve"> </w:t>
      </w:r>
      <w:r>
        <w:t xml:space="preserve">group, click</w:t>
      </w:r>
      <w:r>
        <w:t xml:space="preserve"> </w:t>
      </w:r>
      <w:r>
        <w:rPr>
          <w:b/>
        </w:rPr>
        <w:t xml:space="preserve">Network Analysis</w:t>
      </w:r>
      <w:r>
        <w:t xml:space="preserve"> </w:t>
      </w:r>
      <w:r>
        <w:t xml:space="preserve">→</w:t>
      </w:r>
      <w:r>
        <w:t xml:space="preserve"> </w:t>
      </w:r>
      <w:r>
        <w:rPr>
          <w:b/>
        </w:rPr>
        <w:t xml:space="preserve">Service Area</w:t>
      </w:r>
      <w:r>
        <w:t xml:space="preserve">.</w:t>
      </w:r>
    </w:p>
    <w:p>
      <w:pPr>
        <w:pStyle w:val="FirstParagraph"/>
      </w:pPr>
      <w:r>
        <w:rPr>
          <w:i/>
        </w:rPr>
        <w:t xml:space="preserve">[Figure: Network Analysis dropdown showing Service Area option]</w:t>
      </w:r>
    </w:p>
    <w:p>
      <w:pPr>
        <w:numPr>
          <w:ilvl w:val="0"/>
          <w:numId w:val="1008"/>
        </w:numPr>
        <w:pStyle w:val="Compact"/>
      </w:pPr>
      <w:r>
        <w:t xml:space="preserve">A</w:t>
      </w:r>
      <w:r>
        <w:t xml:space="preserve"> </w:t>
      </w:r>
      <w:r>
        <w:rPr>
          <w:b/>
        </w:rPr>
        <w:t xml:space="preserve">Service Area</w:t>
      </w:r>
      <w:r>
        <w:t xml:space="preserve"> </w:t>
      </w:r>
      <w:r>
        <w:t xml:space="preserve">layer is added to the</w:t>
      </w:r>
      <w:r>
        <w:t xml:space="preserve"> </w:t>
      </w:r>
      <w:r>
        <w:rPr>
          <w:b/>
        </w:rPr>
        <w:t xml:space="preserve">Contents</w:t>
      </w:r>
      <w:r>
        <w:t xml:space="preserve"> </w:t>
      </w:r>
      <w:r>
        <w:t xml:space="preserve">pane. The ribbon switches to show the</w:t>
      </w:r>
      <w:r>
        <w:t xml:space="preserve"> </w:t>
      </w:r>
      <w:r>
        <w:rPr>
          <w:b/>
        </w:rPr>
        <w:t xml:space="preserve">Network Analyst</w:t>
      </w:r>
      <w:r>
        <w:t xml:space="preserve"> </w:t>
      </w:r>
      <w:r>
        <w:t xml:space="preserve">contextual tab set, with</w:t>
      </w:r>
      <w:r>
        <w:t xml:space="preserve"> </w:t>
      </w:r>
      <w:r>
        <w:rPr>
          <w:b/>
        </w:rPr>
        <w:t xml:space="preserve">Service Area Layer</w:t>
      </w:r>
      <w:r>
        <w:t xml:space="preserve"> </w:t>
      </w:r>
      <w:r>
        <w:t xml:space="preserve">tabs.</w:t>
      </w:r>
    </w:p>
    <w:p>
      <w:pPr>
        <w:numPr>
          <w:ilvl w:val="0"/>
          <w:numId w:val="1008"/>
        </w:numPr>
        <w:pStyle w:val="Compact"/>
      </w:pPr>
      <w:r>
        <w:t xml:space="preserve">On the</w:t>
      </w:r>
      <w:r>
        <w:t xml:space="preserve"> </w:t>
      </w:r>
      <w:r>
        <w:rPr>
          <w:b/>
        </w:rPr>
        <w:t xml:space="preserve">Service Area Layer</w:t>
      </w:r>
      <w:r>
        <w:t xml:space="preserve"> </w:t>
      </w:r>
      <w:r>
        <w:t xml:space="preserve">tab, in the</w:t>
      </w:r>
      <w:r>
        <w:t xml:space="preserve"> </w:t>
      </w:r>
      <w:r>
        <w:rPr>
          <w:b/>
        </w:rPr>
        <w:t xml:space="preserve">Network Data Source</w:t>
      </w:r>
      <w:r>
        <w:t xml:space="preserve"> </w:t>
      </w:r>
      <w:r>
        <w:t xml:space="preserve">group, confirm the correct source is shown. If you are using a local dataset (Option A), click</w:t>
      </w:r>
      <w:r>
        <w:t xml:space="preserve"> </w:t>
      </w:r>
      <w:r>
        <w:rPr>
          <w:b/>
        </w:rPr>
        <w:t xml:space="preserve">Change Network Data Source</w:t>
      </w:r>
      <w:r>
        <w:t xml:space="preserve"> </w:t>
      </w:r>
      <w:r>
        <w:t xml:space="preserve">and navigate to your network dataset. If using ArcGIS Online (Option B), it should show your portal by default.</w:t>
      </w:r>
    </w:p>
    <w:p>
      <w:pPr>
        <w:pStyle w:val="Heading3"/>
      </w:pPr>
      <w:bookmarkStart w:id="28" w:name="set-travel-mode-and-cutoffs"/>
      <w:r>
        <w:t xml:space="preserve">Set travel mode and cutoffs</w:t>
      </w:r>
      <w:bookmarkEnd w:id="28"/>
    </w:p>
    <w:p>
      <w:pPr>
        <w:numPr>
          <w:ilvl w:val="0"/>
          <w:numId w:val="1009"/>
        </w:numPr>
        <w:pStyle w:val="Compact"/>
      </w:pPr>
      <w:r>
        <w:t xml:space="preserve">In the</w:t>
      </w:r>
      <w:r>
        <w:t xml:space="preserve"> </w:t>
      </w:r>
      <w:r>
        <w:rPr>
          <w:b/>
        </w:rPr>
        <w:t xml:space="preserve">Travel Settings</w:t>
      </w:r>
      <w:r>
        <w:t xml:space="preserve"> </w:t>
      </w:r>
      <w:r>
        <w:t xml:space="preserve">group on the</w:t>
      </w:r>
      <w:r>
        <w:t xml:space="preserve"> </w:t>
      </w:r>
      <w:r>
        <w:rPr>
          <w:b/>
        </w:rPr>
        <w:t xml:space="preserve">Service Area Layer</w:t>
      </w:r>
      <w:r>
        <w:t xml:space="preserve"> </w:t>
      </w:r>
      <w:r>
        <w:t xml:space="preserve">tab, set the following parameters: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Mode</w:t>
            </w:r>
          </w:p>
        </w:tc>
        <w:tc>
          <w:p>
            <w:pPr>
              <w:pStyle w:val="Compact"/>
              <w:jc w:val="left"/>
            </w:pPr>
            <w:r>
              <w:t xml:space="preserve">Driving Time</w:t>
            </w:r>
          </w:p>
        </w:tc>
      </w:tr>
      <w:tr>
        <w:tc>
          <w:p>
            <w:pPr>
              <w:pStyle w:val="Compact"/>
              <w:jc w:val="left"/>
            </w:pPr>
            <w:r>
              <w:t xml:space="preserve">Direction</w:t>
            </w:r>
          </w:p>
        </w:tc>
        <w:tc>
          <w:p>
            <w:pPr>
              <w:pStyle w:val="Compact"/>
              <w:jc w:val="left"/>
            </w:pPr>
            <w:r>
              <w:t xml:space="preserve">Away From Facilities</w:t>
            </w:r>
          </w:p>
        </w:tc>
      </w:tr>
      <w:tr>
        <w:tc>
          <w:p>
            <w:pPr>
              <w:pStyle w:val="Compact"/>
              <w:jc w:val="left"/>
            </w:pPr>
            <w:r>
              <w:t xml:space="preserve">Cutoffs</w:t>
            </w:r>
          </w:p>
        </w:tc>
        <w:tc>
          <w:p>
            <w:pPr>
              <w:pStyle w:val="Compact"/>
              <w:jc w:val="left"/>
            </w:pPr>
            <w:r>
              <w:rPr>
                <w:rStyle w:val="VerbatimChar"/>
              </w:rPr>
              <w:t xml:space="preserve">15 30 45</w:t>
            </w:r>
            <w:r>
              <w:t xml:space="preserve"> </w:t>
            </w:r>
            <w:r>
              <w:t xml:space="preserve">(enter each value separated by a space, or click Add for each)</w:t>
            </w:r>
          </w:p>
        </w:tc>
      </w:tr>
      <w:tr>
        <w:tc>
          <w:p>
            <w:pPr>
              <w:pStyle w:val="Compact"/>
              <w:jc w:val="left"/>
            </w:pPr>
            <w:r>
              <w:t xml:space="preserve">Time of Day</w:t>
            </w:r>
          </w:p>
        </w:tc>
        <w:tc>
          <w:p>
            <w:pPr>
              <w:pStyle w:val="Compact"/>
              <w:jc w:val="left"/>
            </w:pPr>
            <w:r>
              <w:t xml:space="preserve">Leave as default (no specific departure time)</w:t>
            </w:r>
          </w:p>
        </w:tc>
      </w:tr>
    </w:tbl>
    <w:p>
      <w:pPr>
        <w:pStyle w:val="BlockText"/>
      </w:pPr>
      <w:r>
        <w:rPr>
          <w:b/>
        </w:rPr>
        <w:t xml:space="preserve">Note:</w:t>
      </w:r>
      <w:r>
        <w:t xml:space="preserve"> </w:t>
      </w:r>
      <w:r>
        <w:t xml:space="preserve">“</w:t>
      </w:r>
      <w:r>
        <w:t xml:space="preserve">Away From Facilities</w:t>
      </w:r>
      <w:r>
        <w:t xml:space="preserve">”</w:t>
      </w:r>
      <w:r>
        <w:t xml:space="preserve"> </w:t>
      </w:r>
      <w:r>
        <w:t xml:space="preserve">means the polygons show where people</w:t>
      </w:r>
      <w:r>
        <w:t xml:space="preserve"> </w:t>
      </w:r>
      <w:r>
        <w:rPr>
          <w:i/>
        </w:rPr>
        <w:t xml:space="preserve">can reach from</w:t>
      </w:r>
      <w:r>
        <w:t xml:space="preserve"> </w:t>
      </w:r>
      <w:r>
        <w:t xml:space="preserve">the FQHC, which is equivalent to where people</w:t>
      </w:r>
      <w:r>
        <w:t xml:space="preserve"> </w:t>
      </w:r>
      <w:r>
        <w:rPr>
          <w:i/>
        </w:rPr>
        <w:t xml:space="preserve">can travel to</w:t>
      </w:r>
      <w:r>
        <w:t xml:space="preserve"> </w:t>
      </w:r>
      <w:r>
        <w:t xml:space="preserve">the FQHC in that time. Either direction produces the same catchment polygon when no one-way restrictions are active on most local roads.</w:t>
      </w:r>
    </w:p>
    <w:p>
      <w:pPr>
        <w:numPr>
          <w:ilvl w:val="0"/>
          <w:numId w:val="1010"/>
        </w:numPr>
        <w:pStyle w:val="Compact"/>
      </w:pPr>
      <w:r>
        <w:t xml:space="preserve">In the</w:t>
      </w:r>
      <w:r>
        <w:t xml:space="preserve"> </w:t>
      </w:r>
      <w:r>
        <w:rPr>
          <w:b/>
        </w:rPr>
        <w:t xml:space="preserve">Output Geometry</w:t>
      </w:r>
      <w:r>
        <w:t xml:space="preserve"> </w:t>
      </w:r>
      <w:r>
        <w:t xml:space="preserve">group, confirm</w:t>
      </w:r>
      <w:r>
        <w:t xml:space="preserve"> </w:t>
      </w:r>
      <w:r>
        <w:rPr>
          <w:b/>
        </w:rPr>
        <w:t xml:space="preserve">Polygons</w:t>
      </w:r>
      <w:r>
        <w:t xml:space="preserve"> </w:t>
      </w:r>
      <w:r>
        <w:t xml:space="preserve">is checked and</w:t>
      </w:r>
      <w:r>
        <w:t xml:space="preserve"> </w:t>
      </w:r>
      <w:r>
        <w:rPr>
          <w:b/>
        </w:rPr>
        <w:t xml:space="preserve">Overlap Type</w:t>
      </w:r>
      <w:r>
        <w:t xml:space="preserve"> </w:t>
      </w:r>
      <w:r>
        <w:t xml:space="preserve">is set to</w:t>
      </w:r>
      <w:r>
        <w:t xml:space="preserve"> </w:t>
      </w:r>
      <w:r>
        <w:rPr>
          <w:b/>
        </w:rPr>
        <w:t xml:space="preserve">Rings</w:t>
      </w:r>
      <w:r>
        <w:t xml:space="preserve"> </w:t>
      </w:r>
      <w:r>
        <w:t xml:space="preserve">(not Disks). Rings produce non-overlapping bands — the 15-minute ring, the 15–30-minute ring, and the 30–45-minute ring — which makes it easier to read which zone a census tract falls in.</w:t>
      </w:r>
    </w:p>
    <w:p>
      <w:pPr>
        <w:pStyle w:val="Heading3"/>
      </w:pPr>
      <w:bookmarkStart w:id="29" w:name="import-fqhc-locations-as-facilities"/>
      <w:r>
        <w:t xml:space="preserve">Import FQHC locations as Facilities</w:t>
      </w:r>
      <w:bookmarkEnd w:id="29"/>
    </w:p>
    <w:p>
      <w:pPr>
        <w:numPr>
          <w:ilvl w:val="0"/>
          <w:numId w:val="1011"/>
        </w:numPr>
        <w:pStyle w:val="Compact"/>
      </w:pPr>
      <w:r>
        <w:t xml:space="preserve">In the</w:t>
      </w:r>
      <w:r>
        <w:t xml:space="preserve"> </w:t>
      </w:r>
      <w:r>
        <w:rPr>
          <w:b/>
        </w:rPr>
        <w:t xml:space="preserve">Contents</w:t>
      </w:r>
      <w:r>
        <w:t xml:space="preserve"> </w:t>
      </w:r>
      <w:r>
        <w:t xml:space="preserve">pane, right-click</w:t>
      </w:r>
      <w:r>
        <w:t xml:space="preserve"> </w:t>
      </w:r>
      <w:r>
        <w:rPr>
          <w:b/>
        </w:rPr>
        <w:t xml:space="preserve">Facilities</w:t>
      </w:r>
      <w:r>
        <w:t xml:space="preserve"> </w:t>
      </w:r>
      <w:r>
        <w:t xml:space="preserve">(the sub-layer inside the Service Area layer) →</w:t>
      </w:r>
      <w:r>
        <w:t xml:space="preserve"> </w:t>
      </w:r>
      <w:r>
        <w:rPr>
          <w:b/>
        </w:rPr>
        <w:t xml:space="preserve">Add Locations</w:t>
      </w:r>
      <w:r>
        <w:t xml:space="preserve">.</w:t>
      </w:r>
    </w:p>
    <w:p>
      <w:pPr>
        <w:pStyle w:val="FirstParagraph"/>
      </w:pPr>
      <w:r>
        <w:rPr>
          <w:i/>
        </w:rPr>
        <w:t xml:space="preserve">[Figure: Add Locations dialog for Facilities sub-layer]</w:t>
      </w:r>
    </w:p>
    <w:p>
      <w:pPr>
        <w:numPr>
          <w:ilvl w:val="0"/>
          <w:numId w:val="1012"/>
        </w:numPr>
        <w:pStyle w:val="Compact"/>
      </w:pPr>
      <w:r>
        <w:t xml:space="preserve">In the</w:t>
      </w:r>
      <w:r>
        <w:t xml:space="preserve"> </w:t>
      </w:r>
      <w:r>
        <w:rPr>
          <w:b/>
        </w:rPr>
        <w:t xml:space="preserve">Add Locations</w:t>
      </w:r>
      <w:r>
        <w:t xml:space="preserve"> </w:t>
      </w:r>
      <w:r>
        <w:t xml:space="preserve">dialog:</w:t>
      </w:r>
    </w:p>
    <w:p>
      <w:pPr>
        <w:numPr>
          <w:ilvl w:val="1"/>
          <w:numId w:val="1013"/>
        </w:numPr>
        <w:pStyle w:val="Compact"/>
      </w:pPr>
      <w:r>
        <w:rPr>
          <w:b/>
        </w:rPr>
        <w:t xml:space="preserve">Input Locations:</w:t>
      </w:r>
      <w:r>
        <w:t xml:space="preserve"> </w:t>
      </w:r>
      <w:r>
        <w:t xml:space="preserve">select</w:t>
      </w:r>
      <w:r>
        <w:t xml:space="preserve"> </w:t>
      </w:r>
      <w:r>
        <w:rPr>
          <w:rStyle w:val="VerbatimChar"/>
        </w:rPr>
        <w:t xml:space="preserve">phl_FQHC</w:t>
      </w:r>
      <w:r>
        <w:t xml:space="preserve"> </w:t>
      </w:r>
      <w:r>
        <w:t xml:space="preserve">from the dropdown.</w:t>
      </w:r>
    </w:p>
    <w:p>
      <w:pPr>
        <w:numPr>
          <w:ilvl w:val="1"/>
          <w:numId w:val="1013"/>
        </w:numPr>
        <w:pStyle w:val="Compact"/>
      </w:pPr>
      <w:r>
        <w:rPr>
          <w:b/>
        </w:rPr>
        <w:t xml:space="preserve">Field Mappings:</w:t>
      </w:r>
      <w:r>
        <w:t xml:space="preserve"> </w:t>
      </w:r>
      <w:r>
        <w:t xml:space="preserve">map</w:t>
      </w:r>
      <w:r>
        <w:t xml:space="preserve"> </w:t>
      </w:r>
      <w:r>
        <w:rPr>
          <w:rStyle w:val="VerbatimChar"/>
        </w:rPr>
        <w:t xml:space="preserve">Name</w:t>
      </w:r>
      <w:r>
        <w:t xml:space="preserve"> </w:t>
      </w:r>
      <w:r>
        <w:t xml:space="preserve">to the field that contains the FQHC site name in your data (likely</w:t>
      </w:r>
      <w:r>
        <w:t xml:space="preserve"> </w:t>
      </w:r>
      <w:r>
        <w:rPr>
          <w:rStyle w:val="VerbatimChar"/>
        </w:rPr>
        <w:t xml:space="preserve">Site_Name</w:t>
      </w:r>
      <w:r>
        <w:t xml:space="preserve"> </w:t>
      </w:r>
      <w:r>
        <w:t xml:space="preserve">or</w:t>
      </w:r>
      <w:r>
        <w:t xml:space="preserve"> </w:t>
      </w:r>
      <w:r>
        <w:rPr>
          <w:rStyle w:val="VerbatimChar"/>
        </w:rPr>
        <w:t xml:space="preserve">Facility_N</w:t>
      </w:r>
      <w:r>
        <w:t xml:space="preserve">).</w:t>
      </w:r>
    </w:p>
    <w:p>
      <w:pPr>
        <w:numPr>
          <w:ilvl w:val="1"/>
          <w:numId w:val="1013"/>
        </w:numPr>
        <w:pStyle w:val="Compact"/>
      </w:pPr>
      <w:r>
        <w:t xml:space="preserve">Leave other defaults. Click</w:t>
      </w:r>
      <w:r>
        <w:t xml:space="preserve"> </w:t>
      </w:r>
      <w:r>
        <w:rPr>
          <w:b/>
        </w:rPr>
        <w:t xml:space="preserve">OK</w:t>
      </w:r>
      <w:r>
        <w:t xml:space="preserve">.</w:t>
      </w:r>
    </w:p>
    <w:p>
      <w:pPr>
        <w:numPr>
          <w:ilvl w:val="0"/>
          <w:numId w:val="1012"/>
        </w:numPr>
        <w:pStyle w:val="Compact"/>
      </w:pPr>
      <w:r>
        <w:t xml:space="preserve">The FQHC points appear on the map as blue squares inside the Service Area layer. Verify the count in the</w:t>
      </w:r>
      <w:r>
        <w:t xml:space="preserve"> </w:t>
      </w:r>
      <w:r>
        <w:rPr>
          <w:b/>
        </w:rPr>
        <w:t xml:space="preserve">Contents</w:t>
      </w:r>
      <w:r>
        <w:t xml:space="preserve"> </w:t>
      </w:r>
      <w:r>
        <w:t xml:space="preserve">pane matches the number of FQHCs in your</w:t>
      </w:r>
      <w:r>
        <w:t xml:space="preserve"> </w:t>
      </w:r>
      <w:r>
        <w:rPr>
          <w:rStyle w:val="VerbatimChar"/>
        </w:rPr>
        <w:t xml:space="preserve">phl_FQHC</w:t>
      </w:r>
      <w:r>
        <w:t xml:space="preserve"> </w:t>
      </w:r>
      <w:r>
        <w:t xml:space="preserve">layer.</w:t>
      </w:r>
    </w:p>
    <w:p>
      <w:pPr>
        <w:pStyle w:val="Heading3"/>
      </w:pPr>
      <w:bookmarkStart w:id="30" w:name="run-the-service-area-solve"/>
      <w:r>
        <w:t xml:space="preserve">Run the Service Area solve</w:t>
      </w:r>
      <w:bookmarkEnd w:id="30"/>
    </w:p>
    <w:p>
      <w:pPr>
        <w:numPr>
          <w:ilvl w:val="0"/>
          <w:numId w:val="1014"/>
        </w:numPr>
        <w:pStyle w:val="Compact"/>
      </w:pPr>
      <w:r>
        <w:t xml:space="preserve">On the</w:t>
      </w:r>
      <w:r>
        <w:t xml:space="preserve"> </w:t>
      </w:r>
      <w:r>
        <w:rPr>
          <w:b/>
        </w:rPr>
        <w:t xml:space="preserve">Service Area Layer</w:t>
      </w:r>
      <w:r>
        <w:t xml:space="preserve"> </w:t>
      </w:r>
      <w:r>
        <w:t xml:space="preserve">tab, in the</w:t>
      </w:r>
      <w:r>
        <w:t xml:space="preserve"> </w:t>
      </w:r>
      <w:r>
        <w:rPr>
          <w:b/>
        </w:rPr>
        <w:t xml:space="preserve">Analysis</w:t>
      </w:r>
      <w:r>
        <w:t xml:space="preserve"> </w:t>
      </w:r>
      <w:r>
        <w:t xml:space="preserve">group, click</w:t>
      </w:r>
      <w:r>
        <w:t xml:space="preserve"> </w:t>
      </w:r>
      <w:r>
        <w:rPr>
          <w:b/>
        </w:rPr>
        <w:t xml:space="preserve">Run</w:t>
      </w:r>
      <w:r>
        <w:t xml:space="preserve">.</w:t>
      </w:r>
    </w:p>
    <w:p>
      <w:pPr>
        <w:pStyle w:val="FirstParagraph"/>
      </w:pPr>
      <w:r>
        <w:rPr>
          <w:i/>
        </w:rPr>
        <w:t xml:space="preserve">[Figure: Map showing three nested isochrone rings (15, 30, 45 min) around FQHC points across Philadelphia]</w:t>
      </w:r>
    </w:p>
    <w:p>
      <w:pPr>
        <w:numPr>
          <w:ilvl w:val="0"/>
          <w:numId w:val="1015"/>
        </w:numPr>
        <w:pStyle w:val="Compact"/>
      </w:pPr>
      <w:r>
        <w:t xml:space="preserve">Three polygon layers appear:</w:t>
      </w:r>
      <w:r>
        <w:t xml:space="preserve"> </w:t>
      </w:r>
      <w:r>
        <w:rPr>
          <w:b/>
        </w:rPr>
        <w:t xml:space="preserve">Polygons — 0 – 15</w:t>
      </w:r>
      <w:r>
        <w:t xml:space="preserve">,</w:t>
      </w:r>
      <w:r>
        <w:t xml:space="preserve"> </w:t>
      </w:r>
      <w:r>
        <w:rPr>
          <w:b/>
        </w:rPr>
        <w:t xml:space="preserve">Polygons — 15 – 30</w:t>
      </w:r>
      <w:r>
        <w:t xml:space="preserve">, and</w:t>
      </w:r>
      <w:r>
        <w:t xml:space="preserve"> </w:t>
      </w:r>
      <w:r>
        <w:rPr>
          <w:b/>
        </w:rPr>
        <w:t xml:space="preserve">Polygons — 30 – 45</w:t>
      </w:r>
      <w:r>
        <w:t xml:space="preserve">. Open the</w:t>
      </w:r>
      <w:r>
        <w:t xml:space="preserve"> </w:t>
      </w:r>
      <w:r>
        <w:rPr>
          <w:b/>
        </w:rPr>
        <w:t xml:space="preserve">Symbology</w:t>
      </w:r>
      <w:r>
        <w:t xml:space="preserve"> </w:t>
      </w:r>
      <w:r>
        <w:t xml:space="preserve">pane for the Polygons layer and assign distinct colors with transparency (e.g., green for 0–15, yellow for 15–30, orange for 30–45, 50% transparency) so underlying tract boundaries remain visible.</w:t>
      </w:r>
    </w:p>
    <w:p>
      <w:pPr>
        <w:pStyle w:val="BlockText"/>
      </w:pPr>
      <w:r>
        <w:rPr>
          <w:b/>
        </w:rPr>
        <w:t xml:space="preserve">Public health note:</w:t>
      </w:r>
      <w:r>
        <w:t xml:space="preserve"> </w:t>
      </w:r>
      <w:r>
        <w:t xml:space="preserve">A straight-line (Euclidean) buffer of 15 minutes’ walking distance treats every direction as equally accessible. A network service area follows actual street geometry, accounting for barriers, dead ends, highways, and directional restrictions. In dense urban areas with a grid street network, the differences may be modest; in areas with highway barriers, rivers, or industrial land uses, the actual catchment can be dramatically smaller than a buffer would predict. West Philadelphia has both a grid interior and the Schuylkill River as a barrier — notice whether the isochrones are cut off on the eastern edge of the study area. Drive-time also underestimates access barriers for patients who rely on transit, walking, or paratransit; interpreting these results as</w:t>
      </w:r>
      <w:r>
        <w:t xml:space="preserve"> </w:t>
      </w:r>
      <w:r>
        <w:t xml:space="preserve">“</w:t>
      </w:r>
      <w:r>
        <w:t xml:space="preserve">accessible</w:t>
      </w:r>
      <w:r>
        <w:t xml:space="preserve">”</w:t>
      </w:r>
      <w:r>
        <w:t xml:space="preserve"> </w:t>
      </w:r>
      <w:r>
        <w:t xml:space="preserve">for all residents overstates actual equity.</w:t>
      </w:r>
    </w:p>
    <w:p>
      <w:r>
        <w:pict>
          <v:rect style="width:0;height:1.5pt" o:hralign="center" o:hrstd="t" o:hr="t"/>
        </w:pict>
      </w:r>
    </w:p>
    <w:p>
      <w:pPr>
        <w:pStyle w:val="Heading2"/>
      </w:pPr>
      <w:bookmarkStart w:id="31" w:name="part-3-closest-facility-analysis"/>
      <w:r>
        <w:t xml:space="preserve">Part 3: Closest Facility analysis</w:t>
      </w:r>
      <w:bookmarkEnd w:id="31"/>
    </w:p>
    <w:p>
      <w:pPr>
        <w:pStyle w:val="FirstParagraph"/>
      </w:pPr>
      <w:r>
        <w:t xml:space="preserve">Closest Facility finds the shortest or fastest path from each incident (here, a residential point) to the nearest facility (FQHC). This gives you a travel-time attribute for each residential location.</w:t>
      </w:r>
    </w:p>
    <w:p>
      <w:pPr>
        <w:numPr>
          <w:ilvl w:val="0"/>
          <w:numId w:val="1016"/>
        </w:numPr>
        <w:pStyle w:val="Compact"/>
      </w:pPr>
      <w:r>
        <w:t xml:space="preserve">On the</w:t>
      </w:r>
      <w:r>
        <w:t xml:space="preserve"> </w:t>
      </w:r>
      <w:r>
        <w:rPr>
          <w:b/>
        </w:rPr>
        <w:t xml:space="preserve">Analysis</w:t>
      </w:r>
      <w:r>
        <w:t xml:space="preserve"> </w:t>
      </w:r>
      <w:r>
        <w:t xml:space="preserve">tab →</w:t>
      </w:r>
      <w:r>
        <w:t xml:space="preserve"> </w:t>
      </w:r>
      <w:r>
        <w:rPr>
          <w:b/>
        </w:rPr>
        <w:t xml:space="preserve">Network Analysis</w:t>
      </w:r>
      <w:r>
        <w:t xml:space="preserve"> </w:t>
      </w:r>
      <w:r>
        <w:t xml:space="preserve">dropdown →</w:t>
      </w:r>
      <w:r>
        <w:t xml:space="preserve"> </w:t>
      </w:r>
      <w:r>
        <w:rPr>
          <w:b/>
        </w:rPr>
        <w:t xml:space="preserve">Closest Facility</w:t>
      </w:r>
      <w:r>
        <w:t xml:space="preserve">.</w:t>
      </w:r>
    </w:p>
    <w:p>
      <w:pPr>
        <w:numPr>
          <w:ilvl w:val="0"/>
          <w:numId w:val="1016"/>
        </w:numPr>
        <w:pStyle w:val="Compact"/>
      </w:pPr>
      <w:r>
        <w:t xml:space="preserve">A</w:t>
      </w:r>
      <w:r>
        <w:t xml:space="preserve"> </w:t>
      </w:r>
      <w:r>
        <w:rPr>
          <w:b/>
        </w:rPr>
        <w:t xml:space="preserve">Closest Facility</w:t>
      </w:r>
      <w:r>
        <w:t xml:space="preserve"> </w:t>
      </w:r>
      <w:r>
        <w:t xml:space="preserve">layer appears in the</w:t>
      </w:r>
      <w:r>
        <w:t xml:space="preserve"> </w:t>
      </w:r>
      <w:r>
        <w:rPr>
          <w:b/>
        </w:rPr>
        <w:t xml:space="preserve">Contents</w:t>
      </w:r>
      <w:r>
        <w:t xml:space="preserve"> </w:t>
      </w:r>
      <w:r>
        <w:t xml:space="preserve">pane.</w:t>
      </w:r>
    </w:p>
    <w:p>
      <w:pPr>
        <w:numPr>
          <w:ilvl w:val="0"/>
          <w:numId w:val="1016"/>
        </w:numPr>
        <w:pStyle w:val="Compact"/>
      </w:pPr>
      <w:r>
        <w:t xml:space="preserve">On the</w:t>
      </w:r>
      <w:r>
        <w:t xml:space="preserve"> </w:t>
      </w:r>
      <w:r>
        <w:rPr>
          <w:b/>
        </w:rPr>
        <w:t xml:space="preserve">Closest Facility Layer</w:t>
      </w:r>
      <w:r>
        <w:t xml:space="preserve"> </w:t>
      </w:r>
      <w:r>
        <w:t xml:space="preserve">tab, confirm the same network data source selected in Part 2.</w:t>
      </w:r>
    </w:p>
    <w:p>
      <w:pPr>
        <w:numPr>
          <w:ilvl w:val="0"/>
          <w:numId w:val="1016"/>
        </w:numPr>
        <w:pStyle w:val="Compact"/>
      </w:pPr>
      <w:r>
        <w:t xml:space="preserve">Set</w:t>
      </w:r>
      <w:r>
        <w:t xml:space="preserve"> </w:t>
      </w:r>
      <w:r>
        <w:rPr>
          <w:b/>
        </w:rPr>
        <w:t xml:space="preserve">Travel Mode</w:t>
      </w:r>
      <w:r>
        <w:t xml:space="preserve"> </w:t>
      </w:r>
      <w:r>
        <w:t xml:space="preserve">to</w:t>
      </w:r>
      <w:r>
        <w:t xml:space="preserve"> </w:t>
      </w:r>
      <w:r>
        <w:rPr>
          <w:b/>
        </w:rPr>
        <w:t xml:space="preserve">Driving Time</w:t>
      </w:r>
      <w:r>
        <w:t xml:space="preserve"> </w:t>
      </w:r>
      <w:r>
        <w:t xml:space="preserve">and</w:t>
      </w:r>
      <w:r>
        <w:t xml:space="preserve"> </w:t>
      </w:r>
      <w:r>
        <w:rPr>
          <w:b/>
        </w:rPr>
        <w:t xml:space="preserve">Travel Direction</w:t>
      </w:r>
      <w:r>
        <w:t xml:space="preserve"> </w:t>
      </w:r>
      <w:r>
        <w:t xml:space="preserve">to</w:t>
      </w:r>
      <w:r>
        <w:t xml:space="preserve"> </w:t>
      </w:r>
      <w:r>
        <w:rPr>
          <w:b/>
        </w:rPr>
        <w:t xml:space="preserve">Incident To Facility</w:t>
      </w:r>
      <w:r>
        <w:t xml:space="preserve">.</w:t>
      </w:r>
    </w:p>
    <w:p>
      <w:pPr>
        <w:numPr>
          <w:ilvl w:val="0"/>
          <w:numId w:val="1016"/>
        </w:numPr>
        <w:pStyle w:val="Compact"/>
      </w:pPr>
      <w:r>
        <w:t xml:space="preserve">Set</w:t>
      </w:r>
      <w:r>
        <w:t xml:space="preserve"> </w:t>
      </w:r>
      <w:r>
        <w:rPr>
          <w:b/>
        </w:rPr>
        <w:t xml:space="preserve">Number of Facilities to Find</w:t>
      </w:r>
      <w:r>
        <w:t xml:space="preserve"> </w:t>
      </w:r>
      <w:r>
        <w:t xml:space="preserve">to</w:t>
      </w:r>
      <w:r>
        <w:t xml:space="preserve"> </w:t>
      </w:r>
      <w:r>
        <w:rPr>
          <w:rStyle w:val="VerbatimChar"/>
        </w:rPr>
        <w:t xml:space="preserve">1</w:t>
      </w:r>
      <w:r>
        <w:t xml:space="preserve">.</w:t>
      </w:r>
    </w:p>
    <w:p>
      <w:pPr>
        <w:pStyle w:val="Heading3"/>
      </w:pPr>
      <w:bookmarkStart w:id="32" w:name="load-incidents-and-facilities"/>
      <w:r>
        <w:t xml:space="preserve">Load incidents and facilities</w:t>
      </w:r>
      <w:bookmarkEnd w:id="32"/>
    </w:p>
    <w:p>
      <w:pPr>
        <w:numPr>
          <w:ilvl w:val="0"/>
          <w:numId w:val="1017"/>
        </w:numPr>
        <w:pStyle w:val="Compact"/>
      </w:pPr>
      <w:r>
        <w:t xml:space="preserve">Right-click</w:t>
      </w:r>
      <w:r>
        <w:t xml:space="preserve"> </w:t>
      </w:r>
      <w:r>
        <w:rPr>
          <w:b/>
        </w:rPr>
        <w:t xml:space="preserve">Incidents</w:t>
      </w:r>
      <w:r>
        <w:t xml:space="preserve"> </w:t>
      </w:r>
      <w:r>
        <w:t xml:space="preserve">in the</w:t>
      </w:r>
      <w:r>
        <w:t xml:space="preserve"> </w:t>
      </w:r>
      <w:r>
        <w:rPr>
          <w:b/>
        </w:rPr>
        <w:t xml:space="preserve">Contents</w:t>
      </w:r>
      <w:r>
        <w:t xml:space="preserve"> </w:t>
      </w:r>
      <w:r>
        <w:t xml:space="preserve">pane →</w:t>
      </w:r>
      <w:r>
        <w:t xml:space="preserve"> </w:t>
      </w:r>
      <w:r>
        <w:rPr>
          <w:b/>
        </w:rPr>
        <w:t xml:space="preserve">Add Locations</w:t>
      </w:r>
      <w:r>
        <w:t xml:space="preserve">. Set</w:t>
      </w:r>
      <w:r>
        <w:t xml:space="preserve"> </w:t>
      </w:r>
      <w:r>
        <w:rPr>
          <w:b/>
        </w:rPr>
        <w:t xml:space="preserve">Input Locations</w:t>
      </w:r>
      <w:r>
        <w:t xml:space="preserve"> </w:t>
      </w:r>
      <w:r>
        <w:t xml:space="preserve">to</w:t>
      </w:r>
      <w:r>
        <w:t xml:space="preserve"> </w:t>
      </w:r>
      <w:r>
        <w:rPr>
          <w:rStyle w:val="VerbatimChar"/>
        </w:rPr>
        <w:t xml:space="preserve">westphilly_sample_pts</w:t>
      </w:r>
      <w:r>
        <w:t xml:space="preserve">. Click</w:t>
      </w:r>
      <w:r>
        <w:t xml:space="preserve"> </w:t>
      </w:r>
      <w:r>
        <w:rPr>
          <w:b/>
        </w:rPr>
        <w:t xml:space="preserve">OK</w:t>
      </w:r>
      <w:r>
        <w:t xml:space="preserve">.</w:t>
      </w:r>
    </w:p>
    <w:p>
      <w:pPr>
        <w:numPr>
          <w:ilvl w:val="0"/>
          <w:numId w:val="1017"/>
        </w:numPr>
        <w:pStyle w:val="Compact"/>
      </w:pPr>
      <w:r>
        <w:t xml:space="preserve">Right-click</w:t>
      </w:r>
      <w:r>
        <w:t xml:space="preserve"> </w:t>
      </w:r>
      <w:r>
        <w:rPr>
          <w:b/>
        </w:rPr>
        <w:t xml:space="preserve">Facilities</w:t>
      </w:r>
      <w:r>
        <w:t xml:space="preserve"> </w:t>
      </w:r>
      <w:r>
        <w:t xml:space="preserve">in the</w:t>
      </w:r>
      <w:r>
        <w:t xml:space="preserve"> </w:t>
      </w:r>
      <w:r>
        <w:rPr>
          <w:b/>
        </w:rPr>
        <w:t xml:space="preserve">Contents</w:t>
      </w:r>
      <w:r>
        <w:t xml:space="preserve"> </w:t>
      </w:r>
      <w:r>
        <w:t xml:space="preserve">pane →</w:t>
      </w:r>
      <w:r>
        <w:t xml:space="preserve"> </w:t>
      </w:r>
      <w:r>
        <w:rPr>
          <w:b/>
        </w:rPr>
        <w:t xml:space="preserve">Add Locations</w:t>
      </w:r>
      <w:r>
        <w:t xml:space="preserve">. Set</w:t>
      </w:r>
      <w:r>
        <w:t xml:space="preserve"> </w:t>
      </w:r>
      <w:r>
        <w:rPr>
          <w:b/>
        </w:rPr>
        <w:t xml:space="preserve">Input Locations</w:t>
      </w:r>
      <w:r>
        <w:t xml:space="preserve"> </w:t>
      </w:r>
      <w:r>
        <w:t xml:space="preserve">to</w:t>
      </w:r>
      <w:r>
        <w:t xml:space="preserve"> </w:t>
      </w:r>
      <w:r>
        <w:rPr>
          <w:rStyle w:val="VerbatimChar"/>
        </w:rPr>
        <w:t xml:space="preserve">phl_FQHC</w:t>
      </w:r>
      <w:r>
        <w:t xml:space="preserve">. Click</w:t>
      </w:r>
      <w:r>
        <w:t xml:space="preserve"> </w:t>
      </w:r>
      <w:r>
        <w:rPr>
          <w:b/>
        </w:rPr>
        <w:t xml:space="preserve">OK</w:t>
      </w:r>
      <w:r>
        <w:t xml:space="preserve">.</w:t>
      </w:r>
    </w:p>
    <w:p>
      <w:pPr>
        <w:pStyle w:val="Heading3"/>
      </w:pPr>
      <w:bookmarkStart w:id="33" w:name="run-and-inspect-results"/>
      <w:r>
        <w:t xml:space="preserve">Run and inspect results</w:t>
      </w:r>
      <w:bookmarkEnd w:id="33"/>
    </w:p>
    <w:p>
      <w:pPr>
        <w:numPr>
          <w:ilvl w:val="0"/>
          <w:numId w:val="1018"/>
        </w:numPr>
        <w:pStyle w:val="Compact"/>
      </w:pPr>
      <w:r>
        <w:t xml:space="preserve">On the</w:t>
      </w:r>
      <w:r>
        <w:t xml:space="preserve"> </w:t>
      </w:r>
      <w:r>
        <w:rPr>
          <w:b/>
        </w:rPr>
        <w:t xml:space="preserve">Closest Facility Layer</w:t>
      </w:r>
      <w:r>
        <w:t xml:space="preserve"> </w:t>
      </w:r>
      <w:r>
        <w:t xml:space="preserve">tab →</w:t>
      </w:r>
      <w:r>
        <w:t xml:space="preserve"> </w:t>
      </w:r>
      <w:r>
        <w:rPr>
          <w:b/>
        </w:rPr>
        <w:t xml:space="preserve">Run</w:t>
      </w:r>
      <w:r>
        <w:t xml:space="preserve">.</w:t>
      </w:r>
    </w:p>
    <w:p>
      <w:pPr>
        <w:numPr>
          <w:ilvl w:val="0"/>
          <w:numId w:val="1018"/>
        </w:numPr>
        <w:pStyle w:val="Compact"/>
      </w:pPr>
      <w:r>
        <w:t xml:space="preserve">The</w:t>
      </w:r>
      <w:r>
        <w:t xml:space="preserve"> </w:t>
      </w:r>
      <w:r>
        <w:rPr>
          <w:b/>
        </w:rPr>
        <w:t xml:space="preserve">Routes</w:t>
      </w:r>
      <w:r>
        <w:t xml:space="preserve"> </w:t>
      </w:r>
      <w:r>
        <w:t xml:space="preserve">sub-layer now contains one line per residential point, connecting it to its nearest FQHC. Open the</w:t>
      </w:r>
      <w:r>
        <w:t xml:space="preserve"> </w:t>
      </w:r>
      <w:r>
        <w:rPr>
          <w:b/>
        </w:rPr>
        <w:t xml:space="preserve">Routes</w:t>
      </w:r>
      <w:r>
        <w:t xml:space="preserve"> </w:t>
      </w:r>
      <w:r>
        <w:t xml:space="preserve">attribute table. The field</w:t>
      </w:r>
      <w:r>
        <w:t xml:space="preserve"> </w:t>
      </w:r>
      <w:r>
        <w:rPr>
          <w:b/>
        </w:rPr>
        <w:t xml:space="preserve">Total_TravelTime</w:t>
      </w:r>
      <w:r>
        <w:t xml:space="preserve"> </w:t>
      </w:r>
      <w:r>
        <w:t xml:space="preserve">(or</w:t>
      </w:r>
      <w:r>
        <w:t xml:space="preserve"> </w:t>
      </w:r>
      <w:r>
        <w:rPr>
          <w:b/>
        </w:rPr>
        <w:t xml:space="preserve">Total_Minutes</w:t>
      </w:r>
      <w:r>
        <w:t xml:space="preserve"> </w:t>
      </w:r>
      <w:r>
        <w:t xml:space="preserve">depending on the network dataset) contains the drive time in minutes for each route.</w:t>
      </w:r>
    </w:p>
    <w:p>
      <w:pPr>
        <w:numPr>
          <w:ilvl w:val="0"/>
          <w:numId w:val="1018"/>
        </w:numPr>
        <w:pStyle w:val="Compact"/>
      </w:pPr>
      <w:r>
        <w:t xml:space="preserve">Right-click the</w:t>
      </w:r>
      <w:r>
        <w:t xml:space="preserve"> </w:t>
      </w:r>
      <w:r>
        <w:rPr>
          <w:b/>
        </w:rPr>
        <w:t xml:space="preserve">Routes</w:t>
      </w:r>
      <w:r>
        <w:t xml:space="preserve"> </w:t>
      </w:r>
      <w:r>
        <w:t xml:space="preserve">layer →</w:t>
      </w:r>
      <w:r>
        <w:t xml:space="preserve"> </w:t>
      </w:r>
      <w:r>
        <w:rPr>
          <w:b/>
        </w:rPr>
        <w:t xml:space="preserve">Attribute Table</w:t>
      </w:r>
      <w:r>
        <w:t xml:space="preserve">. Scroll through the table and note the range of travel times. Are any residential points more than 15 minutes from any FQHC?</w:t>
      </w:r>
    </w:p>
    <w:p>
      <w:pPr>
        <w:pStyle w:val="FirstParagraph"/>
      </w:pPr>
      <w:r>
        <w:rPr>
          <w:i/>
        </w:rPr>
        <w:t xml:space="preserve">[Figure: Closest Facility routes displayed on map with residential points and FQHC symbols]</w:t>
      </w:r>
    </w:p>
    <w:p>
      <w:r>
        <w:pict>
          <v:rect style="width:0;height:1.5pt" o:hralign="center" o:hrstd="t" o:hr="t"/>
        </w:pict>
      </w:r>
    </w:p>
    <w:p>
      <w:pPr>
        <w:pStyle w:val="Heading2"/>
      </w:pPr>
      <w:bookmarkStart w:id="34" w:name="part-4-single-route-between-two-points"/>
      <w:r>
        <w:t xml:space="preserve">Part 4: Single Route between two points</w:t>
      </w:r>
      <w:bookmarkEnd w:id="34"/>
    </w:p>
    <w:p>
      <w:pPr>
        <w:pStyle w:val="FirstParagraph"/>
      </w:pPr>
      <w:r>
        <w:t xml:space="preserve">A Route analysis finds the optimal path between a sequence of stops. Here you will trace one route as a demonstration.</w:t>
      </w:r>
    </w:p>
    <w:p>
      <w:pPr>
        <w:numPr>
          <w:ilvl w:val="0"/>
          <w:numId w:val="1019"/>
        </w:numPr>
        <w:pStyle w:val="Compact"/>
      </w:pPr>
      <w:r>
        <w:t xml:space="preserve">On the</w:t>
      </w:r>
      <w:r>
        <w:t xml:space="preserve"> </w:t>
      </w:r>
      <w:r>
        <w:rPr>
          <w:b/>
        </w:rPr>
        <w:t xml:space="preserve">Analysis</w:t>
      </w:r>
      <w:r>
        <w:t xml:space="preserve"> </w:t>
      </w:r>
      <w:r>
        <w:t xml:space="preserve">tab →</w:t>
      </w:r>
      <w:r>
        <w:t xml:space="preserve"> </w:t>
      </w:r>
      <w:r>
        <w:rPr>
          <w:b/>
        </w:rPr>
        <w:t xml:space="preserve">Network Analysis</w:t>
      </w:r>
      <w:r>
        <w:t xml:space="preserve"> </w:t>
      </w:r>
      <w:r>
        <w:t xml:space="preserve">dropdown →</w:t>
      </w:r>
      <w:r>
        <w:t xml:space="preserve"> </w:t>
      </w:r>
      <w:r>
        <w:rPr>
          <w:b/>
        </w:rPr>
        <w:t xml:space="preserve">Route</w:t>
      </w:r>
      <w:r>
        <w:t xml:space="preserve">.</w:t>
      </w:r>
    </w:p>
    <w:p>
      <w:pPr>
        <w:numPr>
          <w:ilvl w:val="0"/>
          <w:numId w:val="1019"/>
        </w:numPr>
        <w:pStyle w:val="Compact"/>
      </w:pPr>
      <w:r>
        <w:t xml:space="preserve">A</w:t>
      </w:r>
      <w:r>
        <w:t xml:space="preserve"> </w:t>
      </w:r>
      <w:r>
        <w:rPr>
          <w:b/>
        </w:rPr>
        <w:t xml:space="preserve">Route</w:t>
      </w:r>
      <w:r>
        <w:t xml:space="preserve"> </w:t>
      </w:r>
      <w:r>
        <w:t xml:space="preserve">layer appears in the</w:t>
      </w:r>
      <w:r>
        <w:t xml:space="preserve"> </w:t>
      </w:r>
      <w:r>
        <w:rPr>
          <w:b/>
        </w:rPr>
        <w:t xml:space="preserve">Contents</w:t>
      </w:r>
      <w:r>
        <w:t xml:space="preserve"> </w:t>
      </w:r>
      <w:r>
        <w:t xml:space="preserve">pane.</w:t>
      </w:r>
    </w:p>
    <w:p>
      <w:pPr>
        <w:numPr>
          <w:ilvl w:val="0"/>
          <w:numId w:val="1019"/>
        </w:numPr>
        <w:pStyle w:val="Compact"/>
      </w:pPr>
      <w:r>
        <w:t xml:space="preserve">On the</w:t>
      </w:r>
      <w:r>
        <w:t xml:space="preserve"> </w:t>
      </w:r>
      <w:r>
        <w:rPr>
          <w:b/>
        </w:rPr>
        <w:t xml:space="preserve">Route Layer</w:t>
      </w:r>
      <w:r>
        <w:t xml:space="preserve"> </w:t>
      </w:r>
      <w:r>
        <w:t xml:space="preserve">tab, set</w:t>
      </w:r>
      <w:r>
        <w:t xml:space="preserve"> </w:t>
      </w:r>
      <w:r>
        <w:rPr>
          <w:b/>
        </w:rPr>
        <w:t xml:space="preserve">Travel Mode</w:t>
      </w:r>
      <w:r>
        <w:t xml:space="preserve"> </w:t>
      </w:r>
      <w:r>
        <w:t xml:space="preserve">to</w:t>
      </w:r>
      <w:r>
        <w:t xml:space="preserve"> </w:t>
      </w:r>
      <w:r>
        <w:rPr>
          <w:b/>
        </w:rPr>
        <w:t xml:space="preserve">Driving Time</w:t>
      </w:r>
      <w:r>
        <w:t xml:space="preserve">.</w:t>
      </w:r>
    </w:p>
    <w:p>
      <w:pPr>
        <w:numPr>
          <w:ilvl w:val="0"/>
          <w:numId w:val="1019"/>
        </w:numPr>
        <w:pStyle w:val="Compact"/>
      </w:pPr>
      <w:r>
        <w:t xml:space="preserve">Right-click</w:t>
      </w:r>
      <w:r>
        <w:t xml:space="preserve"> </w:t>
      </w:r>
      <w:r>
        <w:rPr>
          <w:b/>
        </w:rPr>
        <w:t xml:space="preserve">Stops</w:t>
      </w:r>
      <w:r>
        <w:t xml:space="preserve"> </w:t>
      </w:r>
      <w:r>
        <w:t xml:space="preserve">→</w:t>
      </w:r>
      <w:r>
        <w:t xml:space="preserve"> </w:t>
      </w:r>
      <w:r>
        <w:rPr>
          <w:b/>
        </w:rPr>
        <w:t xml:space="preserve">Add Locations</w:t>
      </w:r>
      <w:r>
        <w:t xml:space="preserve">. In the dialog, choose any two points from</w:t>
      </w:r>
      <w:r>
        <w:t xml:space="preserve"> </w:t>
      </w:r>
      <w:r>
        <w:rPr>
          <w:rStyle w:val="VerbatimChar"/>
        </w:rPr>
        <w:t xml:space="preserve">westphilly_sample_pts</w:t>
      </w:r>
      <w:r>
        <w:t xml:space="preserve"> </w:t>
      </w:r>
      <w:r>
        <w:t xml:space="preserve">(enter a SQL query such as</w:t>
      </w:r>
      <w:r>
        <w:t xml:space="preserve"> </w:t>
      </w:r>
      <w:r>
        <w:rPr>
          <w:rStyle w:val="VerbatimChar"/>
        </w:rPr>
        <w:t xml:space="preserve">OBJECTID IN (1, 2)</w:t>
      </w:r>
      <w:r>
        <w:t xml:space="preserve"> </w:t>
      </w:r>
      <w:r>
        <w:t xml:space="preserve">in the Append Where Clause box to select just two). Click</w:t>
      </w:r>
      <w:r>
        <w:t xml:space="preserve"> </w:t>
      </w:r>
      <w:r>
        <w:rPr>
          <w:b/>
        </w:rPr>
        <w:t xml:space="preserve">OK</w:t>
      </w:r>
      <w:r>
        <w:t xml:space="preserve">.</w:t>
      </w:r>
    </w:p>
    <w:p>
      <w:pPr>
        <w:numPr>
          <w:ilvl w:val="0"/>
          <w:numId w:val="1019"/>
        </w:numPr>
        <w:pStyle w:val="Compact"/>
      </w:pPr>
      <w:r>
        <w:t xml:space="preserve">Click</w:t>
      </w:r>
      <w:r>
        <w:t xml:space="preserve"> </w:t>
      </w:r>
      <w:r>
        <w:rPr>
          <w:b/>
        </w:rPr>
        <w:t xml:space="preserve">Run</w:t>
      </w:r>
      <w:r>
        <w:t xml:space="preserve">. The optimal route line appears. Open the</w:t>
      </w:r>
      <w:r>
        <w:t xml:space="preserve"> </w:t>
      </w:r>
      <w:r>
        <w:rPr>
          <w:b/>
        </w:rPr>
        <w:t xml:space="preserve">Routes</w:t>
      </w:r>
      <w:r>
        <w:t xml:space="preserve"> </w:t>
      </w:r>
      <w:r>
        <w:t xml:space="preserve">attribute table to read the total travel time.</w:t>
      </w:r>
    </w:p>
    <w:p>
      <w:pPr>
        <w:pStyle w:val="BlockText"/>
      </w:pPr>
      <w:r>
        <w:rPr>
          <w:b/>
        </w:rPr>
        <w:t xml:space="preserve">Note:</w:t>
      </w:r>
      <w:r>
        <w:t xml:space="preserve"> </w:t>
      </w:r>
      <w:r>
        <w:t xml:space="preserve">A Route layer can handle multiple stops in sequence (useful for site visit planning, outreach routes, or field team routing). For this lab, two stops is sufficient to see the output and verify the network is working correctly.</w:t>
      </w:r>
    </w:p>
    <w:p>
      <w:r>
        <w:pict>
          <v:rect style="width:0;height:1.5pt" o:hralign="center" o:hrstd="t" o:hr="t"/>
        </w:pict>
      </w:r>
    </w:p>
    <w:p>
      <w:pPr>
        <w:pStyle w:val="Heading2"/>
      </w:pPr>
      <w:bookmarkStart w:id="35" w:name="part-5-estimate-uncovered-population"/>
      <w:r>
        <w:t xml:space="preserve">Part 5: Estimate uncovered population</w:t>
      </w:r>
      <w:bookmarkEnd w:id="35"/>
    </w:p>
    <w:p>
      <w:pPr>
        <w:numPr>
          <w:ilvl w:val="0"/>
          <w:numId w:val="1020"/>
        </w:numPr>
        <w:pStyle w:val="Compact"/>
      </w:pPr>
      <w:r>
        <w:t xml:space="preserve">In the</w:t>
      </w:r>
      <w:r>
        <w:t xml:space="preserve"> </w:t>
      </w:r>
      <w:r>
        <w:rPr>
          <w:b/>
        </w:rPr>
        <w:t xml:space="preserve">Contents</w:t>
      </w:r>
      <w:r>
        <w:t xml:space="preserve"> </w:t>
      </w:r>
      <w:r>
        <w:t xml:space="preserve">pane, make sure</w:t>
      </w:r>
      <w:r>
        <w:t xml:space="preserve"> </w:t>
      </w:r>
      <w:r>
        <w:rPr>
          <w:rStyle w:val="VerbatimChar"/>
        </w:rPr>
        <w:t xml:space="preserve">phl_tracts_pop</w:t>
      </w:r>
      <w:r>
        <w:t xml:space="preserve"> </w:t>
      </w:r>
      <w:r>
        <w:t xml:space="preserve">is visible and on top of the service area polygons for selection purposes.</w:t>
      </w:r>
    </w:p>
    <w:p>
      <w:pPr>
        <w:numPr>
          <w:ilvl w:val="0"/>
          <w:numId w:val="1020"/>
        </w:numPr>
        <w:pStyle w:val="Compact"/>
      </w:pPr>
      <w:r>
        <w:t xml:space="preserve">On the</w:t>
      </w:r>
      <w:r>
        <w:t xml:space="preserve"> </w:t>
      </w:r>
      <w:r>
        <w:rPr>
          <w:b/>
        </w:rPr>
        <w:t xml:space="preserve">Map</w:t>
      </w:r>
      <w:r>
        <w:t xml:space="preserve"> </w:t>
      </w:r>
      <w:r>
        <w:t xml:space="preserve">tab →</w:t>
      </w:r>
      <w:r>
        <w:t xml:space="preserve"> </w:t>
      </w:r>
      <w:r>
        <w:rPr>
          <w:b/>
        </w:rPr>
        <w:t xml:space="preserve">Selection</w:t>
      </w:r>
      <w:r>
        <w:t xml:space="preserve"> </w:t>
      </w:r>
      <w:r>
        <w:t xml:space="preserve">group →</w:t>
      </w:r>
      <w:r>
        <w:t xml:space="preserve"> </w:t>
      </w:r>
      <w:r>
        <w:rPr>
          <w:b/>
        </w:rPr>
        <w:t xml:space="preserve">Select By Location</w:t>
      </w:r>
      <w:r>
        <w:t xml:space="preserve">.</w:t>
      </w:r>
    </w:p>
    <w:p>
      <w:pPr>
        <w:numPr>
          <w:ilvl w:val="0"/>
          <w:numId w:val="1020"/>
        </w:numPr>
        <w:pStyle w:val="Compact"/>
      </w:pPr>
      <w:r>
        <w:t xml:space="preserve">In the</w:t>
      </w:r>
      <w:r>
        <w:t xml:space="preserve"> </w:t>
      </w:r>
      <w:r>
        <w:rPr>
          <w:b/>
        </w:rPr>
        <w:t xml:space="preserve">Select By Location</w:t>
      </w:r>
      <w:r>
        <w:t xml:space="preserve"> </w:t>
      </w:r>
      <w:r>
        <w:t xml:space="preserve">dialog:</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Input Features</w:t>
            </w:r>
          </w:p>
        </w:tc>
        <w:tc>
          <w:p>
            <w:pPr>
              <w:pStyle w:val="Compact"/>
              <w:jc w:val="left"/>
            </w:pPr>
            <w:r>
              <w:rPr>
                <w:rStyle w:val="VerbatimChar"/>
              </w:rPr>
              <w:t xml:space="preserve">phl_tracts_pop</w:t>
            </w:r>
          </w:p>
        </w:tc>
      </w:tr>
      <w:tr>
        <w:tc>
          <w:p>
            <w:pPr>
              <w:pStyle w:val="Compact"/>
              <w:jc w:val="left"/>
            </w:pPr>
            <w:r>
              <w:t xml:space="preserve">Relationship</w:t>
            </w:r>
          </w:p>
        </w:tc>
        <w:tc>
          <w:p>
            <w:pPr>
              <w:pStyle w:val="Compact"/>
              <w:jc w:val="left"/>
            </w:pPr>
            <w:r>
              <w:rPr>
                <w:b/>
              </w:rPr>
              <w:t xml:space="preserve">Have their center in</w:t>
            </w:r>
          </w:p>
        </w:tc>
      </w:tr>
      <w:tr>
        <w:tc>
          <w:p>
            <w:pPr>
              <w:pStyle w:val="Compact"/>
              <w:jc w:val="left"/>
            </w:pPr>
            <w:r>
              <w:t xml:space="preserve">Selecting Features</w:t>
            </w:r>
          </w:p>
        </w:tc>
        <w:tc>
          <w:p>
            <w:pPr>
              <w:pStyle w:val="Compact"/>
              <w:jc w:val="left"/>
            </w:pPr>
            <w:r>
              <w:rPr>
                <w:rStyle w:val="VerbatimChar"/>
              </w:rPr>
              <w:t xml:space="preserve">Polygons — 0 – 15</w:t>
            </w:r>
            <w:r>
              <w:t xml:space="preserve"> </w:t>
            </w:r>
            <w:r>
              <w:t xml:space="preserve">(the 15-minute service area polygon)</w:t>
            </w:r>
          </w:p>
        </w:tc>
      </w:tr>
      <w:tr>
        <w:tc>
          <w:p>
            <w:pPr>
              <w:pStyle w:val="Compact"/>
              <w:jc w:val="left"/>
            </w:pPr>
            <w:r>
              <w:t xml:space="preserve">Selection type</w:t>
            </w:r>
          </w:p>
        </w:tc>
        <w:tc>
          <w:p>
            <w:pPr>
              <w:pStyle w:val="Compact"/>
              <w:jc w:val="left"/>
            </w:pPr>
            <w:r>
              <w:t xml:space="preserve">New selection</w:t>
            </w:r>
          </w:p>
        </w:tc>
      </w:tr>
    </w:tbl>
    <w:p>
      <w:pPr>
        <w:numPr>
          <w:ilvl w:val="0"/>
          <w:numId w:val="1021"/>
        </w:numPr>
        <w:pStyle w:val="Compact"/>
      </w:pPr>
      <w:r>
        <w:t xml:space="preserve">Click</w:t>
      </w:r>
      <w:r>
        <w:t xml:space="preserve"> </w:t>
      </w:r>
      <w:r>
        <w:rPr>
          <w:b/>
        </w:rPr>
        <w:t xml:space="preserve">OK</w:t>
      </w:r>
      <w:r>
        <w:t xml:space="preserve">. The tracts whose centroids fall inside the 15-minute isochrone are selected (highlighted).</w:t>
      </w:r>
    </w:p>
    <w:p>
      <w:pPr>
        <w:numPr>
          <w:ilvl w:val="0"/>
          <w:numId w:val="1021"/>
        </w:numPr>
        <w:pStyle w:val="Compact"/>
      </w:pPr>
      <w:r>
        <w:t xml:space="preserve">On the</w:t>
      </w:r>
      <w:r>
        <w:t xml:space="preserve"> </w:t>
      </w:r>
      <w:r>
        <w:rPr>
          <w:b/>
        </w:rPr>
        <w:t xml:space="preserve">Analysis</w:t>
      </w:r>
      <w:r>
        <w:t xml:space="preserve"> </w:t>
      </w:r>
      <w:r>
        <w:t xml:space="preserve">tab →</w:t>
      </w:r>
      <w:r>
        <w:t xml:space="preserve"> </w:t>
      </w:r>
      <w:r>
        <w:rPr>
          <w:b/>
        </w:rPr>
        <w:t xml:space="preserve">Tools</w:t>
      </w:r>
      <w:r>
        <w:t xml:space="preserve"> </w:t>
      </w:r>
      <w:r>
        <w:t xml:space="preserve">→ search for</w:t>
      </w:r>
      <w:r>
        <w:t xml:space="preserve"> </w:t>
      </w:r>
      <w:r>
        <w:rPr>
          <w:b/>
        </w:rPr>
        <w:t xml:space="preserve">Summary Statistics</w:t>
      </w:r>
      <w:r>
        <w:t xml:space="preserve">. Open the</w:t>
      </w:r>
      <w:r>
        <w:t xml:space="preserve"> </w:t>
      </w:r>
      <w:r>
        <w:rPr>
          <w:b/>
        </w:rPr>
        <w:t xml:space="preserve">Summary Statistics</w:t>
      </w:r>
      <w:r>
        <w:t xml:space="preserve"> </w:t>
      </w:r>
      <w:r>
        <w:t xml:space="preserve">tool.</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Input Table</w:t>
            </w:r>
          </w:p>
        </w:tc>
        <w:tc>
          <w:p>
            <w:pPr>
              <w:pStyle w:val="Compact"/>
              <w:jc w:val="left"/>
            </w:pPr>
            <w:r>
              <w:rPr>
                <w:rStyle w:val="VerbatimChar"/>
              </w:rPr>
              <w:t xml:space="preserve">phl_tracts_pop</w:t>
            </w:r>
          </w:p>
        </w:tc>
      </w:tr>
      <w:tr>
        <w:tc>
          <w:p>
            <w:pPr>
              <w:pStyle w:val="Compact"/>
              <w:jc w:val="left"/>
            </w:pPr>
            <w:r>
              <w:t xml:space="preserve">Output Table</w:t>
            </w:r>
          </w:p>
        </w:tc>
        <w:tc>
          <w:p>
            <w:pPr>
              <w:pStyle w:val="Compact"/>
              <w:jc w:val="left"/>
            </w:pPr>
            <w:r>
              <w:rPr>
                <w:rStyle w:val="VerbatimChar"/>
              </w:rPr>
              <w:t xml:space="preserve">covered_pop_stats</w:t>
            </w:r>
            <w:r>
              <w:t xml:space="preserve"> </w:t>
            </w:r>
            <w:r>
              <w:t xml:space="preserve">(save to your project geodatabase)</w:t>
            </w:r>
          </w:p>
        </w:tc>
      </w:tr>
      <w:tr>
        <w:tc>
          <w:p>
            <w:pPr>
              <w:pStyle w:val="Compact"/>
              <w:jc w:val="left"/>
            </w:pPr>
            <w:r>
              <w:t xml:space="preserve">Statistics Field</w:t>
            </w:r>
          </w:p>
        </w:tc>
        <w:tc>
          <w:p>
            <w:pPr>
              <w:pStyle w:val="Compact"/>
              <w:jc w:val="left"/>
            </w:pPr>
            <w:r>
              <w:rPr>
                <w:rStyle w:val="VerbatimChar"/>
              </w:rPr>
              <w:t xml:space="preserve">TOT_POP</w:t>
            </w:r>
            <w:r>
              <w:t xml:space="preserve"> </w:t>
            </w:r>
            <w:r>
              <w:t xml:space="preserve">— Statistic Type:</w:t>
            </w:r>
            <w:r>
              <w:t xml:space="preserve"> </w:t>
            </w:r>
            <w:r>
              <w:rPr>
                <w:rStyle w:val="VerbatimChar"/>
              </w:rPr>
              <w:t xml:space="preserve">SUM</w:t>
            </w:r>
          </w:p>
        </w:tc>
      </w:tr>
      <w:tr>
        <w:tc>
          <w:p>
            <w:pPr>
              <w:pStyle w:val="Compact"/>
              <w:jc w:val="left"/>
            </w:pPr>
            <w:r>
              <w:t xml:space="preserve">Case Field</w:t>
            </w:r>
          </w:p>
        </w:tc>
        <w:tc>
          <w:p>
            <w:pPr>
              <w:pStyle w:val="Compact"/>
              <w:jc w:val="left"/>
            </w:pPr>
            <w:r>
              <w:rPr>
                <w:i/>
              </w:rPr>
              <w:t xml:space="preserve">(leave blank)</w:t>
            </w:r>
          </w:p>
        </w:tc>
      </w:tr>
    </w:tbl>
    <w:p>
      <w:pPr>
        <w:numPr>
          <w:ilvl w:val="0"/>
          <w:numId w:val="1022"/>
        </w:numPr>
        <w:pStyle w:val="Compact"/>
      </w:pPr>
      <w:r>
        <w:t xml:space="preserve">Click</w:t>
      </w:r>
      <w:r>
        <w:t xml:space="preserve"> </w:t>
      </w:r>
      <w:r>
        <w:rPr>
          <w:b/>
        </w:rPr>
        <w:t xml:space="preserve">Run</w:t>
      </w:r>
      <w:r>
        <w:t xml:space="preserve">. Open the output table. Record the</w:t>
      </w:r>
      <w:r>
        <w:t xml:space="preserve"> </w:t>
      </w:r>
      <w:r>
        <w:rPr>
          <w:b/>
        </w:rPr>
        <w:t xml:space="preserve">SUM_TOT_POP</w:t>
      </w:r>
      <w:r>
        <w:t xml:space="preserve"> </w:t>
      </w:r>
      <w:r>
        <w:t xml:space="preserve">value — this is the population in tracts covered within 15 minutes.</w:t>
      </w:r>
    </w:p>
    <w:p>
      <w:pPr>
        <w:numPr>
          <w:ilvl w:val="0"/>
          <w:numId w:val="1022"/>
        </w:numPr>
        <w:pStyle w:val="Compact"/>
      </w:pPr>
      <w:r>
        <w:t xml:space="preserve">Invert the selection: on the</w:t>
      </w:r>
      <w:r>
        <w:t xml:space="preserve"> </w:t>
      </w:r>
      <w:r>
        <w:rPr>
          <w:b/>
        </w:rPr>
        <w:t xml:space="preserve">Map</w:t>
      </w:r>
      <w:r>
        <w:t xml:space="preserve"> </w:t>
      </w:r>
      <w:r>
        <w:t xml:space="preserve">tab →</w:t>
      </w:r>
      <w:r>
        <w:t xml:space="preserve"> </w:t>
      </w:r>
      <w:r>
        <w:rPr>
          <w:b/>
        </w:rPr>
        <w:t xml:space="preserve">Selection</w:t>
      </w:r>
      <w:r>
        <w:t xml:space="preserve"> </w:t>
      </w:r>
      <w:r>
        <w:t xml:space="preserve">→</w:t>
      </w:r>
      <w:r>
        <w:t xml:space="preserve"> </w:t>
      </w:r>
      <w:r>
        <w:rPr>
          <w:b/>
        </w:rPr>
        <w:t xml:space="preserve">Switch</w:t>
      </w:r>
      <w:r>
        <w:t xml:space="preserve">. Re-run</w:t>
      </w:r>
      <w:r>
        <w:t xml:space="preserve"> </w:t>
      </w:r>
      <w:r>
        <w:rPr>
          <w:b/>
        </w:rPr>
        <w:t xml:space="preserve">Summary Statistics</w:t>
      </w:r>
      <w:r>
        <w:t xml:space="preserve"> </w:t>
      </w:r>
      <w:r>
        <w:t xml:space="preserve">with the same settings, saving to</w:t>
      </w:r>
      <w:r>
        <w:t xml:space="preserve"> </w:t>
      </w:r>
      <w:r>
        <w:rPr>
          <w:rStyle w:val="VerbatimChar"/>
        </w:rPr>
        <w:t xml:space="preserve">uncovered_pop_stats</w:t>
      </w:r>
      <w:r>
        <w:t xml:space="preserve">. The</w:t>
      </w:r>
      <w:r>
        <w:t xml:space="preserve"> </w:t>
      </w:r>
      <w:r>
        <w:rPr>
          <w:b/>
        </w:rPr>
        <w:t xml:space="preserve">SUM_TOT_POP</w:t>
      </w:r>
      <w:r>
        <w:t xml:space="preserve"> </w:t>
      </w:r>
      <w:r>
        <w:t xml:space="preserve">in this table is the population in tracts NOT covered.</w:t>
      </w:r>
    </w:p>
    <w:p>
      <w:pPr>
        <w:numPr>
          <w:ilvl w:val="0"/>
          <w:numId w:val="1022"/>
        </w:numPr>
        <w:pStyle w:val="Compact"/>
      </w:pPr>
      <w:r>
        <w:t xml:space="preserve">Calculate the percentage uncovered:</w:t>
      </w:r>
      <w:r>
        <w:t xml:space="preserve"> </w:t>
      </w:r>
      <w:r>
        <w:rPr>
          <w:rStyle w:val="VerbatimChar"/>
        </w:rPr>
        <w:t xml:space="preserve">uncovered / (covered + uncovered) × 100</w:t>
      </w:r>
      <w:r>
        <w:t xml:space="preserve">. Record this figure for your deliverables.</w:t>
      </w:r>
    </w:p>
    <w:p>
      <w:pPr>
        <w:pStyle w:val="BlockText"/>
      </w:pPr>
      <w:r>
        <w:rPr>
          <w:b/>
        </w:rPr>
        <w:t xml:space="preserve">Warning:</w:t>
      </w:r>
      <w:r>
        <w:t xml:space="preserve"> </w:t>
      </w:r>
      <w:r>
        <w:t xml:space="preserve">Using tract centroids to assign coverage oversimplifies. A large tract may have its centroid inside the 15-minute polygon while half its residents live outside it. For a more precise estimate, you could use block-level population or areal interpolation — methods beyond this lab’s scope but worth noting in your interpretation.</w:t>
      </w:r>
    </w:p>
    <w:p>
      <w:pPr>
        <w:pStyle w:val="BlockText"/>
      </w:pPr>
      <w:r>
        <w:rPr>
          <w:b/>
        </w:rPr>
        <w:t xml:space="preserve">Public health note:</w:t>
      </w:r>
      <w:r>
        <w:t xml:space="preserve"> </w:t>
      </w:r>
      <w:r>
        <w:t xml:space="preserve">The population estimate you have just calculated is a rough upper bound on coverage. It assumes all residents drive, that the street network is traversable at all times, and that drive time is the only access barrier. In practice, cost, insurance status, clinic hours, language, and patient load all constrain effective access. A drive-time service area is a useful first screen, not a complete access assessment.</w:t>
      </w:r>
    </w:p>
    <w:p>
      <w:r>
        <w:pict>
          <v:rect style="width:0;height:1.5pt" o:hralign="center" o:hrstd="t" o:hr="t"/>
        </w:pict>
      </w:r>
    </w:p>
    <w:p>
      <w:pPr>
        <w:pStyle w:val="Heading2"/>
      </w:pPr>
      <w:bookmarkStart w:id="36" w:name="deliverables"/>
      <w:r>
        <w:t xml:space="preserve">Deliverables</w:t>
      </w:r>
      <w:bookmarkEnd w:id="36"/>
    </w:p>
    <w:p>
      <w:pPr>
        <w:pStyle w:val="FirstParagraph"/>
      </w:pPr>
      <w:r>
        <w:t xml:space="preserve">Submit the following to your instructor:</w:t>
      </w:r>
    </w:p>
    <w:p>
      <w:pPr>
        <w:numPr>
          <w:ilvl w:val="0"/>
          <w:numId w:val="1023"/>
        </w:numPr>
        <w:pStyle w:val="Compact"/>
      </w:pPr>
      <w:r>
        <w:rPr>
          <w:b/>
        </w:rPr>
        <w:t xml:space="preserve">Layout export (PDF or PNG):</w:t>
      </w:r>
      <w:r>
        <w:t xml:space="preserve"> </w:t>
      </w:r>
      <w:r>
        <w:t xml:space="preserve">A single-page map showing the three service-area rings (15, 30, 45 min) around Philadelphia FQHCs, with the Closest Facility routes for the West Philadelphia sample points. Include a title, legend, north arrow, and scale bar. Label the map with your name and the date.</w:t>
      </w:r>
    </w:p>
    <w:p>
      <w:pPr>
        <w:numPr>
          <w:ilvl w:val="0"/>
          <w:numId w:val="1023"/>
        </w:numPr>
        <w:pStyle w:val="Compact"/>
      </w:pPr>
      <w:r>
        <w:rPr>
          <w:b/>
        </w:rPr>
        <w:t xml:space="preserve">Summary table:</w:t>
      </w:r>
      <w:r>
        <w:t xml:space="preserve"> </w:t>
      </w:r>
      <w:r>
        <w:t xml:space="preserve">A small table (can be typed in your write-up) with: total Philadelphia tract population, population in tracts covered within 15 minutes, population in tracts not covered, and percent uncovered.</w:t>
      </w:r>
    </w:p>
    <w:p>
      <w:pPr>
        <w:numPr>
          <w:ilvl w:val="0"/>
          <w:numId w:val="1023"/>
        </w:numPr>
        <w:pStyle w:val="Compact"/>
      </w:pPr>
      <w:r>
        <w:rPr>
          <w:b/>
        </w:rPr>
        <w:t xml:space="preserve">150-word written interpretation:</w:t>
      </w:r>
      <w:r>
        <w:t xml:space="preserve"> </w:t>
      </w:r>
      <w:r>
        <w:t xml:space="preserve">Answer the public health question in plain language. Address: (a) what share of West Philadelphia residents appear underserved by drive-time access, (b) at least one limitation of the drive-time method for a safety-net population, and (c) one policy or programmatic implication of your finding.</w:t>
      </w:r>
    </w:p>
    <w:p>
      <w:pPr>
        <w:numPr>
          <w:ilvl w:val="0"/>
          <w:numId w:val="1023"/>
        </w:numPr>
        <w:pStyle w:val="Compact"/>
      </w:pPr>
      <w:r>
        <w:rPr>
          <w:b/>
        </w:rPr>
        <w:t xml:space="preserve">Label any AI-assisted output</w:t>
      </w:r>
      <w:r>
        <w:t xml:space="preserve"> </w:t>
      </w:r>
      <w:r>
        <w:t xml:space="preserve">with the prompt you used and a note on how you verified the result (see Using AI in this lab).</w:t>
      </w:r>
    </w:p>
    <w:p>
      <w:r>
        <w:pict>
          <v:rect style="width:0;height:1.5pt" o:hralign="center" o:hrstd="t" o:hr="t"/>
        </w:pict>
      </w:r>
    </w:p>
    <w:p>
      <w:pPr>
        <w:pStyle w:val="Heading2"/>
      </w:pPr>
      <w:bookmarkStart w:id="37" w:name="using-ai-in-this-lab"/>
      <w:r>
        <w:t xml:space="preserve">Using AI in this lab</w:t>
      </w:r>
      <w:bookmarkEnd w:id="37"/>
    </w:p>
    <w:p>
      <w:pPr>
        <w:pStyle w:val="FirstParagraph"/>
      </w:pPr>
      <w:r>
        <w:rPr>
          <w:b/>
        </w:rPr>
        <w:t xml:space="preserve">Suggested use — scaffolding a workflow:</w:t>
      </w:r>
      <w:r>
        <w:t xml:space="preserve"> </w:t>
      </w:r>
      <w:r>
        <w:t xml:space="preserve">Before starting, you may ask Claude (or another LLM):</w:t>
      </w:r>
      <w:r>
        <w:t xml:space="preserve"> </w:t>
      </w:r>
      <w:r>
        <w:rPr>
          <w:i/>
        </w:rPr>
        <w:t xml:space="preserve">“</w:t>
      </w:r>
      <w:r>
        <w:rPr>
          <w:i/>
        </w:rPr>
        <w:t xml:space="preserve">I need to estimate the share of residents more than 15 minutes from an FQHC using ArcGIS Pro Network Analyst. Give me a step-by-step tool sequence.</w:t>
      </w:r>
      <w:r>
        <w:rPr>
          <w:i/>
        </w:rPr>
        <w:t xml:space="preserve">”</w:t>
      </w:r>
      <w:r>
        <w:t xml:space="preserve"> </w:t>
      </w:r>
      <w:r>
        <w:t xml:space="preserve">Use the response to orient yourself, then follow this handout’s steps — which have been verified against Esri documentation — rather than the AI output directly.</w:t>
      </w:r>
    </w:p>
    <w:p>
      <w:pPr>
        <w:pStyle w:val="BodyText"/>
      </w:pPr>
      <w:r>
        <w:rPr>
          <w:b/>
        </w:rPr>
        <w:t xml:space="preserve">Suggested use — explaining output:</w:t>
      </w:r>
      <w:r>
        <w:t xml:space="preserve"> </w:t>
      </w:r>
      <w:r>
        <w:t xml:space="preserve">If your service area polygons look wrong (e.g., they extend across the river where there are no bridges), ask:</w:t>
      </w:r>
      <w:r>
        <w:t xml:space="preserve"> </w:t>
      </w:r>
      <w:r>
        <w:rPr>
          <w:i/>
        </w:rPr>
        <w:t xml:space="preserve">“</w:t>
      </w:r>
      <w:r>
        <w:rPr>
          <w:i/>
        </w:rPr>
        <w:t xml:space="preserve">In ArcGIS Pro Network Analyst, why might my service area polygon extend into an area with no roads?</w:t>
      </w:r>
      <w:r>
        <w:rPr>
          <w:i/>
        </w:rPr>
        <w:t xml:space="preserve">”</w:t>
      </w:r>
      <w:r>
        <w:t xml:space="preserve"> </w:t>
      </w:r>
      <w:r>
        <w:t xml:space="preserve">Use the explanation to guide your troubleshooting.</w:t>
      </w:r>
    </w:p>
    <w:p>
      <w:pPr>
        <w:pStyle w:val="BodyText"/>
      </w:pPr>
      <w:r>
        <w:rPr>
          <w:b/>
        </w:rPr>
        <w:t xml:space="preserve">Guardrails — required:</w:t>
      </w:r>
    </w:p>
    <w:p>
      <w:pPr>
        <w:numPr>
          <w:ilvl w:val="0"/>
          <w:numId w:val="1024"/>
        </w:numPr>
        <w:pStyle w:val="Compact"/>
      </w:pPr>
      <w:r>
        <w:t xml:space="preserve">AI helps with three things only: scaffolding (draft steps, code, text), explaining (concepts, errors), and critiquing (your map, your interpretation).</w:t>
      </w:r>
    </w:p>
    <w:p>
      <w:pPr>
        <w:numPr>
          <w:ilvl w:val="0"/>
          <w:numId w:val="1024"/>
        </w:numPr>
        <w:pStyle w:val="Compact"/>
      </w:pPr>
      <w:r>
        <w:t xml:space="preserve">AI does not choose your datasets, make analytic decisions, or interpret results for your specific study area.</w:t>
      </w:r>
    </w:p>
    <w:p>
      <w:pPr>
        <w:numPr>
          <w:ilvl w:val="0"/>
          <w:numId w:val="1024"/>
        </w:numPr>
        <w:pStyle w:val="Compact"/>
      </w:pPr>
      <w:r>
        <w:t xml:space="preserve">Never paste patient addresses, identifiable health records, or any PHI into a public LLM.</w:t>
      </w:r>
    </w:p>
    <w:p>
      <w:pPr>
        <w:numPr>
          <w:ilvl w:val="0"/>
          <w:numId w:val="1024"/>
        </w:numPr>
        <w:pStyle w:val="Compact"/>
      </w:pPr>
      <w:r>
        <w:t xml:space="preserve">Any map, table, or text produced with AI assistance must be labeled as such in your submission, along with the prompt used and how you verified the output.</w:t>
      </w:r>
    </w:p>
    <w:p>
      <w:r>
        <w:pict>
          <v:rect style="width:0;height:1.5pt" o:hralign="center" o:hrstd="t" o:hr="t"/>
        </w:pict>
      </w:r>
    </w:p>
    <w:p>
      <w:pPr>
        <w:pStyle w:val="Heading2"/>
      </w:pPr>
      <w:bookmarkStart w:id="38" w:name="qgis-equivalent"/>
      <w:r>
        <w:t xml:space="preserve">QGIS equivalent</w:t>
      </w:r>
      <w:bookmarkEnd w:id="38"/>
    </w:p>
    <w:p>
      <w:pPr>
        <w:pStyle w:val="FirstParagraph"/>
      </w:pPr>
      <w:r>
        <w:t xml:space="preserve">QGIS does not ship with a full network analysis suite equivalent to ArcGIS Network Analyst. Basic capabilities are available through two routes: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QGIS approach</w:t>
            </w:r>
          </w:p>
        </w:tc>
      </w:tr>
      <w:tr>
        <w:tc>
          <w:p>
            <w:pPr>
              <w:pStyle w:val="Compact"/>
              <w:jc w:val="left"/>
            </w:pPr>
            <w:r>
              <w:t xml:space="preserve">Shortest path (single route)</w:t>
            </w:r>
          </w:p>
        </w:tc>
        <w:tc>
          <w:p>
            <w:pPr>
              <w:pStyle w:val="Compact"/>
              <w:jc w:val="left"/>
            </w:pPr>
            <w:r>
              <w:rPr>
                <w:b/>
              </w:rPr>
              <w:t xml:space="preserve">Vector</w:t>
            </w:r>
            <w:r>
              <w:t xml:space="preserve"> </w:t>
            </w:r>
            <w:r>
              <w:t xml:space="preserve">menu →</w:t>
            </w:r>
            <w:r>
              <w:t xml:space="preserve"> </w:t>
            </w:r>
            <w:r>
              <w:rPr>
                <w:b/>
              </w:rPr>
              <w:t xml:space="preserve">Analysis Tools</w:t>
            </w:r>
            <w:r>
              <w:t xml:space="preserve"> </w:t>
            </w:r>
            <w:r>
              <w:t xml:space="preserve">→</w:t>
            </w:r>
            <w:r>
              <w:t xml:space="preserve"> </w:t>
            </w:r>
            <w:r>
              <w:rPr>
                <w:b/>
              </w:rPr>
              <w:t xml:space="preserve">Shortest Path (Point to Point)</w:t>
            </w:r>
            <w:r>
              <w:t xml:space="preserve"> </w:t>
            </w:r>
            <w:r>
              <w:t xml:space="preserve">— uses the built-in QGIS Network Analysis library on any line layer</w:t>
            </w:r>
          </w:p>
        </w:tc>
      </w:tr>
      <w:tr>
        <w:tc>
          <w:p>
            <w:pPr>
              <w:pStyle w:val="Compact"/>
              <w:jc w:val="left"/>
            </w:pPr>
            <w:r>
              <w:t xml:space="preserve">Service areas / isochrones</w:t>
            </w:r>
          </w:p>
        </w:tc>
        <w:tc>
          <w:p>
            <w:pPr>
              <w:pStyle w:val="Compact"/>
              <w:jc w:val="left"/>
            </w:pPr>
            <w:r>
              <w:rPr>
                <w:b/>
              </w:rPr>
              <w:t xml:space="preserve">ORS Tools</w:t>
            </w:r>
            <w:r>
              <w:t xml:space="preserve"> </w:t>
            </w:r>
            <w:r>
              <w:t xml:space="preserve">plugin (requires a free OpenRouteService API key) or</w:t>
            </w:r>
            <w:r>
              <w:t xml:space="preserve"> </w:t>
            </w:r>
            <w:r>
              <w:rPr>
                <w:b/>
              </w:rPr>
              <w:t xml:space="preserve">QNEAT3</w:t>
            </w:r>
            <w:r>
              <w:t xml:space="preserve"> </w:t>
            </w:r>
            <w:r>
              <w:t xml:space="preserve">plugin — both generate drive-time polygons comparable to ArcGIS Service Area</w:t>
            </w:r>
          </w:p>
        </w:tc>
      </w:tr>
      <w:tr>
        <w:tc>
          <w:p>
            <w:pPr>
              <w:pStyle w:val="Compact"/>
              <w:jc w:val="left"/>
            </w:pPr>
            <w:r>
              <w:t xml:space="preserve">Closest facility</w:t>
            </w:r>
          </w:p>
        </w:tc>
        <w:tc>
          <w:p>
            <w:pPr>
              <w:pStyle w:val="Compact"/>
              <w:jc w:val="left"/>
            </w:pPr>
            <w:r>
              <w:rPr>
                <w:b/>
              </w:rPr>
              <w:t xml:space="preserve">ORS Tools</w:t>
            </w:r>
            <w:r>
              <w:t xml:space="preserve"> </w:t>
            </w:r>
            <w:r>
              <w:t xml:space="preserve">→</w:t>
            </w:r>
            <w:r>
              <w:t xml:space="preserve"> </w:t>
            </w:r>
            <w:r>
              <w:rPr>
                <w:b/>
              </w:rPr>
              <w:t xml:space="preserve">Matrix</w:t>
            </w:r>
            <w:r>
              <w:t xml:space="preserve"> </w:t>
            </w:r>
            <w:r>
              <w:t xml:space="preserve">endpoint computes travel time from many origins to many destinations; post-process in the attribute table to find the minimum per origin</w:t>
            </w:r>
          </w:p>
        </w:tc>
      </w:tr>
      <w:tr>
        <w:tc>
          <w:p>
            <w:pPr>
              <w:pStyle w:val="Compact"/>
              <w:jc w:val="left"/>
            </w:pPr>
            <w:r>
              <w:t xml:space="preserve">Transit routing</w:t>
            </w:r>
          </w:p>
        </w:tc>
        <w:tc>
          <w:p>
            <w:pPr>
              <w:pStyle w:val="Compact"/>
              <w:jc w:val="left"/>
            </w:pPr>
            <w:r>
              <w:rPr>
                <w:b/>
              </w:rPr>
              <w:t xml:space="preserve">GTFS-GO</w:t>
            </w:r>
            <w:r>
              <w:t xml:space="preserve"> </w:t>
            </w:r>
            <w:r>
              <w:t xml:space="preserve">or</w:t>
            </w:r>
            <w:r>
              <w:t xml:space="preserve"> </w:t>
            </w:r>
            <w:r>
              <w:rPr>
                <w:b/>
              </w:rPr>
              <w:t xml:space="preserve">pt2matsim</w:t>
            </w:r>
            <w:r>
              <w:t xml:space="preserve"> </w:t>
            </w:r>
            <w:r>
              <w:t xml:space="preserve">plugins for GTFS-based transit network import</w:t>
            </w:r>
          </w:p>
        </w:tc>
      </w:tr>
    </w:tbl>
    <w:p>
      <w:pPr>
        <w:pStyle w:val="BodyText"/>
      </w:pPr>
      <w:r>
        <w:t xml:space="preserve">Install plugins via</w:t>
      </w:r>
      <w:r>
        <w:t xml:space="preserve"> </w:t>
      </w:r>
      <w:r>
        <w:rPr>
          <w:b/>
        </w:rPr>
        <w:t xml:space="preserve">Plugins</w:t>
      </w:r>
      <w:r>
        <w:t xml:space="preserve"> </w:t>
      </w:r>
      <w:r>
        <w:t xml:space="preserve">menu →</w:t>
      </w:r>
      <w:r>
        <w:t xml:space="preserve"> </w:t>
      </w:r>
      <w:r>
        <w:rPr>
          <w:b/>
        </w:rPr>
        <w:t xml:space="preserve">Manage and Install Plugins</w:t>
      </w:r>
      <w:r>
        <w:t xml:space="preserve">. ORS Tools requires registering for a free API key at openrouteservice.org; the free tier allows sufficient requests for a class exercise. Results will differ slightly from ArcGIS because the underlying street networks (Esri vs. OpenStreetMap) differ.</w:t>
      </w:r>
    </w:p>
    <w:p>
      <w:r>
        <w:pict>
          <v:rect style="width:0;height:1.5pt" o:hralign="center" o:hrstd="t" o:hr="t"/>
        </w:pict>
      </w:r>
    </w:p>
    <w:p>
      <w:pPr>
        <w:pStyle w:val="Heading2"/>
      </w:pPr>
      <w:bookmarkStart w:id="39" w:name="check-your-understanding"/>
      <w:r>
        <w:t xml:space="preserve">Check your understanding</w:t>
      </w:r>
      <w:bookmarkEnd w:id="39"/>
    </w:p>
    <w:p>
      <w:pPr>
        <w:numPr>
          <w:ilvl w:val="0"/>
          <w:numId w:val="1025"/>
        </w:numPr>
        <w:pStyle w:val="Compact"/>
      </w:pPr>
      <w:r>
        <w:t xml:space="preserve">What is the difference between a</w:t>
      </w:r>
      <w:r>
        <w:t xml:space="preserve"> </w:t>
      </w:r>
      <w:r>
        <w:rPr>
          <w:b/>
        </w:rPr>
        <w:t xml:space="preserve">Disk</w:t>
      </w:r>
      <w:r>
        <w:t xml:space="preserve"> </w:t>
      </w:r>
      <w:r>
        <w:t xml:space="preserve">and a</w:t>
      </w:r>
      <w:r>
        <w:t xml:space="preserve"> </w:t>
      </w:r>
      <w:r>
        <w:rPr>
          <w:b/>
        </w:rPr>
        <w:t xml:space="preserve">Ring</w:t>
      </w:r>
      <w:r>
        <w:t xml:space="preserve"> </w:t>
      </w:r>
      <w:r>
        <w:t xml:space="preserve">output in the Service Area tool? When would you use each?</w:t>
      </w:r>
    </w:p>
    <w:p>
      <w:pPr>
        <w:numPr>
          <w:ilvl w:val="0"/>
          <w:numId w:val="1025"/>
        </w:numPr>
        <w:pStyle w:val="Compact"/>
      </w:pPr>
      <w:r>
        <w:t xml:space="preserve">Why does the ArcGIS Online routing service consume credits, and what are the practical implications for organizations that run large-scale access analyses regularly?</w:t>
      </w:r>
    </w:p>
    <w:p>
      <w:pPr>
        <w:numPr>
          <w:ilvl w:val="0"/>
          <w:numId w:val="1025"/>
        </w:numPr>
        <w:pStyle w:val="Compact"/>
      </w:pPr>
      <w:r>
        <w:t xml:space="preserve">A colleague says:</w:t>
      </w:r>
      <w:r>
        <w:t xml:space="preserve"> </w:t>
      </w:r>
      <w:r>
        <w:t xml:space="preserve">“</w:t>
      </w:r>
      <w:r>
        <w:t xml:space="preserve">I just buffered the FQHCs by one mile — that’s basically the same as a 15-minute service area.</w:t>
      </w:r>
      <w:r>
        <w:t xml:space="preserve">”</w:t>
      </w:r>
      <w:r>
        <w:t xml:space="preserve"> </w:t>
      </w:r>
      <w:r>
        <w:t xml:space="preserve">Is that correct? Under what conditions would a buffer and a network service area give similar results, and when would they diverge the most?</w:t>
      </w:r>
    </w:p>
    <w:p>
      <w:pPr>
        <w:numPr>
          <w:ilvl w:val="0"/>
          <w:numId w:val="1025"/>
        </w:numPr>
        <w:pStyle w:val="Compact"/>
      </w:pPr>
      <w:r>
        <w:t xml:space="preserve">In your population estimate, you used tract centroids to assign coverage. Name two alternative approaches that would produce a more accurate estimate of the uncovered population, and explain the trade-off each involves.</w:t>
      </w:r>
    </w:p>
    <w:p>
      <w:pPr>
        <w:numPr>
          <w:ilvl w:val="0"/>
          <w:numId w:val="1025"/>
        </w:numPr>
        <w:pStyle w:val="Compact"/>
      </w:pPr>
      <w:r>
        <w:t xml:space="preserve">The lab uses driving time as the impedance. For a safety-net health center patient population, what travel mode(s) would be more appropriate, and what additional data would you need to implement them in ArcGIS Pro?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3">
    <w:nsid w:val="47261bad"/>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4">
    <w:nsid w:val="b3cbbdee"/>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2">
    <w:nsid w:val="4fbe019a"/>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5">
    <w:nsid w:val="91a27d85"/>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6">
    <w:nsid w:val="615f1ed2"/>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417">
    <w:nsid w:val="238d8174"/>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9">
    <w:nsid w:val="41f388d6"/>
    <w:multiLevelType w:val="multilevel"/>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994110">
    <w:nsid w:val="da4300bd"/>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99418">
    <w:nsid w:val="8c1c03f9"/>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3">
    <w:abstractNumId w:val="991"/>
  </w:num>
  <w:num w:numId="101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2026-06-09T17:17:37Z</dcterms:created>
  <dcterms:modified xsi:type="dcterms:W3CDTF">2026-06-09T17:17:37Z</dcterms:modified>
</cp:coreProperties>
</file>

<file path=docProps/custom.xml><?xml version="1.0" encoding="utf-8"?>
<Properties xmlns="http://schemas.openxmlformats.org/officeDocument/2006/custom-properties" xmlns:vt="http://schemas.openxmlformats.org/officeDocument/2006/docPropsVTypes"/>
</file>