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eb8d2c308a0ffa7d2f4df082642672357bfe5b"/>
      <w:r>
        <w:t xml:space="preserve">Lab 5a: Interpolation — Estimating a Continuous Exposure Surface</w:t>
      </w:r>
      <w:bookmarkEnd w:id="20"/>
    </w:p>
    <w:p>
      <w:pPr>
        <w:pStyle w:val="FirstParagraph"/>
      </w:pPr>
      <w:r>
        <w:rPr>
          <w:i/>
        </w:rPr>
        <w:t xml:space="preserve">Intro GIS for Public Health · ArcGIS Pro · Day 5</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 has only a handful of EPA AQS PM2.5 monitors, and they are not evenly distributed across the city. From these sparse point measurements, can we estimate what summer PM2.5 concentrations look like everywhere — and, just as importantly, where should we trust that estimate?</w:t>
      </w:r>
    </w:p>
    <w:p>
      <w:pPr>
        <w:pStyle w:val="BodyText"/>
      </w:pPr>
      <w:r>
        <w:t xml:space="preserve">This lab uses spatial interpolation to generate a continuous PM2.5 surface from monitor points. You will build surfaces using Inverse Distance Weighting (IDW) and Kriging, compare their prediction accuracy with cross-validation, and map where uncertainty is highest because monitors are far away.</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Enable the Spatial Analyst and Geostatistical Analyst extensions in ArcGIS Pro</w:t>
      </w:r>
    </w:p>
    <w:p>
      <w:pPr>
        <w:numPr>
          <w:ilvl w:val="0"/>
          <w:numId w:val="1001"/>
        </w:numPr>
        <w:pStyle w:val="Compact"/>
      </w:pPr>
      <w:r>
        <w:t xml:space="preserve">Inspect point data and identify the value field for interpolation</w:t>
      </w:r>
    </w:p>
    <w:p>
      <w:pPr>
        <w:numPr>
          <w:ilvl w:val="0"/>
          <w:numId w:val="1001"/>
        </w:numPr>
        <w:pStyle w:val="Compact"/>
      </w:pPr>
      <w:r>
        <w:t xml:space="preserve">Run IDW interpolation and vary the power parameter (1, 2, 3) to understand its effect on the surface</w:t>
      </w:r>
    </w:p>
    <w:p>
      <w:pPr>
        <w:numPr>
          <w:ilvl w:val="0"/>
          <w:numId w:val="1001"/>
        </w:numPr>
        <w:pStyle w:val="Compact"/>
      </w:pPr>
      <w:r>
        <w:t xml:space="preserve">Run Ordinary Kriging and Empirical Bayesian Kriging (EBK) via the Geostatistical Wizard</w:t>
      </w:r>
    </w:p>
    <w:p>
      <w:pPr>
        <w:numPr>
          <w:ilvl w:val="0"/>
          <w:numId w:val="1001"/>
        </w:numPr>
        <w:pStyle w:val="Compact"/>
      </w:pPr>
      <w:r>
        <w:t xml:space="preserve">Read cross-validation output (RMSE, standardized RMS) to compare method accuracy</w:t>
      </w:r>
    </w:p>
    <w:p>
      <w:pPr>
        <w:numPr>
          <w:ilvl w:val="0"/>
          <w:numId w:val="1001"/>
        </w:numPr>
        <w:pStyle w:val="Compact"/>
      </w:pPr>
      <w:r>
        <w:t xml:space="preserve">Clip/mask an interpolated raster to the city boundary</w:t>
      </w:r>
    </w:p>
    <w:p>
      <w:pPr>
        <w:numPr>
          <w:ilvl w:val="0"/>
          <w:numId w:val="1001"/>
        </w:numPr>
        <w:pStyle w:val="Compact"/>
      </w:pPr>
      <w:r>
        <w:t xml:space="preserve">Symbolize continuous rasters on a common scale for side-by-side comparison</w:t>
      </w:r>
    </w:p>
    <w:p>
      <w:pPr>
        <w:numPr>
          <w:ilvl w:val="0"/>
          <w:numId w:val="1001"/>
        </w:numPr>
        <w:pStyle w:val="Compact"/>
      </w:pPr>
      <w:r>
        <w:t xml:space="preserve">Identify areas of low prediction reliability based on distance from monitors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Three IDW rasters clipped to Philadelphia (power = 1, 2, 3), displayed side by side in a layout</w:t>
      </w:r>
    </w:p>
    <w:p>
      <w:pPr>
        <w:numPr>
          <w:ilvl w:val="0"/>
          <w:numId w:val="1002"/>
        </w:numPr>
        <w:pStyle w:val="Compact"/>
      </w:pPr>
      <w:r>
        <w:t xml:space="preserve">One Ordinary Kriging surface and one Empirical Bayesian Kriging surface, clipped to Philadelphia</w:t>
      </w:r>
    </w:p>
    <w:p>
      <w:pPr>
        <w:numPr>
          <w:ilvl w:val="0"/>
          <w:numId w:val="1002"/>
        </w:numPr>
        <w:pStyle w:val="Compact"/>
      </w:pPr>
      <w:r>
        <w:t xml:space="preserve">A cross-validation comparison table (method, power/type, RMSE, standardized RMS)</w:t>
      </w:r>
    </w:p>
    <w:p>
      <w:pPr>
        <w:numPr>
          <w:ilvl w:val="0"/>
          <w:numId w:val="1002"/>
        </w:numPr>
        <w:pStyle w:val="Compact"/>
      </w:pPr>
      <w:r>
        <w:t xml:space="preserve">A 150-word written interpretation: which surface you would use for a public health analysis, why, and where predictions are least reliable</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on the</w:t>
      </w:r>
      <w:r>
        <w:t xml:space="preserve"> </w:t>
      </w:r>
      <w:r>
        <w:rPr>
          <w:b/>
        </w:rPr>
        <w:t xml:space="preserve">W: drive</w:t>
      </w:r>
      <w:r>
        <w:t xml:space="preserve"> </w:t>
      </w:r>
      <w:r>
        <w:t xml:space="preserve">(</w:t>
      </w:r>
      <w:r>
        <w:rPr>
          <w:rStyle w:val="VerbatimChar"/>
        </w:rPr>
        <w:t xml:space="preserve">W:\Lab05a\data\</w:t>
      </w:r>
      <w:r>
        <w:t xml:space="preserve">).</w:t>
      </w:r>
      <w:r>
        <w:t xml:space="preserve"> </w:t>
      </w:r>
      <w:r>
        <w:t xml:space="preserve">“</w:t>
      </w:r>
      <w:r>
        <w:t xml:space="preserve">W:</w:t>
      </w:r>
      <w:r>
        <w:t xml:space="preserve">”</w:t>
      </w:r>
      <w:r>
        <w:t xml:space="preserve"> </w:t>
      </w:r>
      <w:r>
        <w:t xml:space="preserve">refers to your student storage drive — the exact letter may differ on your machine; your instructor will confirm it at the start of lab.</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phl_air_monitors.shp</w:t>
            </w:r>
          </w:p>
        </w:tc>
        <w:tc>
          <w:p>
            <w:pPr>
              <w:pStyle w:val="Compact"/>
              <w:jc w:val="left"/>
            </w:pPr>
            <w:r>
              <w:t xml:space="preserve">EPA AQS PM2.5 monitor points; field</w:t>
            </w:r>
            <w:r>
              <w:t xml:space="preserve"> </w:t>
            </w:r>
            <w:r>
              <w:rPr>
                <w:rStyle w:val="VerbatimChar"/>
              </w:rPr>
              <w:t xml:space="preserve">PM25_MEAN</w:t>
            </w:r>
            <w:r>
              <w:t xml:space="preserve"> </w:t>
            </w:r>
            <w:r>
              <w:t xml:space="preserve">= summer mean concentration (µg/m³)</w:t>
            </w:r>
          </w:p>
        </w:tc>
        <w:tc>
          <w:p>
            <w:pPr>
              <w:pStyle w:val="Compact"/>
              <w:jc w:val="left"/>
            </w:pPr>
            <w:r>
              <w:t xml:space="preserve">Instructor-provided (EPA AirNow/AQS)</w:t>
            </w:r>
          </w:p>
        </w:tc>
      </w:tr>
      <w:tr>
        <w:tc>
          <w:p>
            <w:pPr>
              <w:pStyle w:val="Compact"/>
              <w:jc w:val="left"/>
            </w:pPr>
            <w:r>
              <w:rPr>
                <w:rStyle w:val="VerbatimChar"/>
              </w:rPr>
              <w:t xml:space="preserve">phl_boundary.shp</w:t>
            </w:r>
          </w:p>
        </w:tc>
        <w:tc>
          <w:p>
            <w:pPr>
              <w:pStyle w:val="Compact"/>
              <w:jc w:val="left"/>
            </w:pPr>
            <w:r>
              <w:t xml:space="preserve">Philadelphia city boundary polygon for masking output rasters</w:t>
            </w:r>
          </w:p>
        </w:tc>
        <w:tc>
          <w:p>
            <w:pPr>
              <w:pStyle w:val="Compact"/>
              <w:jc w:val="left"/>
            </w:pPr>
            <w:r>
              <w:t xml:space="preserve">Instructor-provided (TIGER/Line via PASDA)</w:t>
            </w:r>
          </w:p>
        </w:tc>
      </w:tr>
    </w:tbl>
    <w:p>
      <w:pPr>
        <w:pStyle w:val="BlockText"/>
      </w:pPr>
      <w:r>
        <w:rPr>
          <w:b/>
        </w:rPr>
        <w:t xml:space="preserve">Note:</w:t>
      </w:r>
      <w:r>
        <w:t xml:space="preserve"> </w:t>
      </w:r>
      <w:r>
        <w:t xml:space="preserve">Both layers are projected to</w:t>
      </w:r>
      <w:r>
        <w:t xml:space="preserve"> </w:t>
      </w:r>
      <w:r>
        <w:rPr>
          <w:b/>
        </w:rPr>
        <w:t xml:space="preserve">NAD83 PA State Plane South (EPSG:2272, US feet)</w:t>
      </w:r>
      <w:r>
        <w:t xml:space="preserve">. Do not reproject them. Spatial Analyst and Geostatistical Analyst tools require a projected coordinate system to compute meaningful distances.</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Contents pane, Catalog pane, adding layers, running geoprocessing tools (Labs 1–3). No prior interpolation experience needed.</w:t>
      </w:r>
    </w:p>
    <w:p>
      <w:pPr>
        <w:pStyle w:val="BodyText"/>
      </w:pPr>
      <w:r>
        <w:rPr>
          <w:b/>
        </w:rPr>
        <w:t xml:space="preserve">Extensions required:</w:t>
      </w:r>
      <w:r>
        <w:t xml:space="preserve"> </w:t>
      </w:r>
      <w:r>
        <w:t xml:space="preserve">Spatial Analyst and Geostatistical Analyst. Both must be enabled — Step 2 below walks through this.</w:t>
      </w:r>
    </w:p>
    <w:p>
      <w:pPr>
        <w:pStyle w:val="BodyText"/>
      </w:pPr>
      <w:r>
        <w:rPr>
          <w:b/>
        </w:rPr>
        <w:t xml:space="preserve">Estimated time:</w:t>
      </w:r>
      <w:r>
        <w:t xml:space="preserve"> </w:t>
      </w:r>
      <w:r>
        <w:t xml:space="preserve">90–120 minutes.</w:t>
      </w:r>
    </w:p>
    <w:p>
      <w:pPr>
        <w:pStyle w:val="BodyText"/>
      </w:pPr>
      <w:r>
        <w:rPr>
          <w:b/>
        </w:rPr>
        <w:t xml:space="preserve">Before you start:</w:t>
      </w:r>
      <w:r>
        <w:t xml:space="preserve"> </w:t>
      </w:r>
      <w:r>
        <w:t xml:space="preserve">Copy</w:t>
      </w:r>
      <w:r>
        <w:t xml:space="preserve"> </w:t>
      </w:r>
      <w:r>
        <w:rPr>
          <w:rStyle w:val="VerbatimChar"/>
        </w:rPr>
        <w:t xml:space="preserve">W:\Lab05a\</w:t>
      </w:r>
      <w:r>
        <w:t xml:space="preserve"> </w:t>
      </w:r>
      <w:r>
        <w:t xml:space="preserve">to a local drive if your instructor directs — geoprocessing on network drives can be slow.</w:t>
      </w:r>
    </w:p>
    <w:p>
      <w:r>
        <w:pict>
          <v:rect style="width:0;height:1.5pt" o:hralign="center" o:hrstd="t" o:hr="t"/>
        </w:pict>
      </w:r>
    </w:p>
    <w:p>
      <w:pPr>
        <w:pStyle w:val="Heading2"/>
      </w:pPr>
      <w:bookmarkStart w:id="26" w:name="X31210b81971d209be943b198e6459eacd93e5c6"/>
      <w:r>
        <w:t xml:space="preserve">Part 1: Project Setup and Extension Activation</w:t>
      </w:r>
      <w:bookmarkEnd w:id="26"/>
    </w:p>
    <w:p>
      <w:pPr>
        <w:numPr>
          <w:ilvl w:val="0"/>
          <w:numId w:val="1003"/>
        </w:numPr>
      </w:pPr>
      <w:r>
        <w:t xml:space="preserve">Open ArcGIS Pro. Create a new project using the</w:t>
      </w:r>
      <w:r>
        <w:t xml:space="preserve"> </w:t>
      </w:r>
      <w:r>
        <w:rPr>
          <w:b/>
        </w:rPr>
        <w:t xml:space="preserve">Map</w:t>
      </w:r>
      <w:r>
        <w:t xml:space="preserve"> </w:t>
      </w:r>
      <w:r>
        <w:t xml:space="preserve">template. Name it</w:t>
      </w:r>
      <w:r>
        <w:t xml:space="preserve"> </w:t>
      </w:r>
      <w:r>
        <w:rPr>
          <w:rStyle w:val="VerbatimChar"/>
        </w:rPr>
        <w:t xml:space="preserve">Lab05a_Interpolation</w:t>
      </w:r>
      <w:r>
        <w:t xml:space="preserve"> </w:t>
      </w:r>
      <w:r>
        <w:t xml:space="preserve">and save it to</w:t>
      </w:r>
      <w:r>
        <w:t xml:space="preserve"> </w:t>
      </w:r>
      <w:r>
        <w:rPr>
          <w:rStyle w:val="VerbatimChar"/>
        </w:rPr>
        <w:t xml:space="preserve">W:\Lab05a\</w:t>
      </w:r>
      <w:r>
        <w:t xml:space="preserve">.</w:t>
      </w:r>
    </w:p>
    <w:p>
      <w:pPr>
        <w:numPr>
          <w:ilvl w:val="0"/>
          <w:numId w:val="1003"/>
        </w:numPr>
      </w:pPr>
      <w:r>
        <w:t xml:space="preserve">Enable the required extensions. On the main menu, click</w:t>
      </w:r>
      <w:r>
        <w:t xml:space="preserve"> </w:t>
      </w:r>
      <w:r>
        <w:rPr>
          <w:b/>
        </w:rPr>
        <w:t xml:space="preserve">Project</w:t>
      </w:r>
      <w:r>
        <w:t xml:space="preserve"> </w:t>
      </w:r>
      <w:r>
        <w:t xml:space="preserve">→</w:t>
      </w:r>
      <w:r>
        <w:t xml:space="preserve"> </w:t>
      </w:r>
      <w:r>
        <w:rPr>
          <w:b/>
        </w:rPr>
        <w:t xml:space="preserve">Licensing</w:t>
      </w:r>
      <w:r>
        <w:t xml:space="preserve">. In the</w:t>
      </w:r>
      <w:r>
        <w:t xml:space="preserve"> </w:t>
      </w:r>
      <w:r>
        <w:rPr>
          <w:b/>
        </w:rPr>
        <w:t xml:space="preserve">Configure your licensing</w:t>
      </w:r>
      <w:r>
        <w:t xml:space="preserve"> </w:t>
      </w:r>
      <w:r>
        <w:t xml:space="preserve">pane, confirm that</w:t>
      </w:r>
      <w:r>
        <w:t xml:space="preserve"> </w:t>
      </w:r>
      <w:r>
        <w:rPr>
          <w:b/>
        </w:rPr>
        <w:t xml:space="preserve">Spatial Analyst</w:t>
      </w:r>
      <w:r>
        <w:t xml:space="preserve"> </w:t>
      </w:r>
      <w:r>
        <w:t xml:space="preserve">and</w:t>
      </w:r>
      <w:r>
        <w:t xml:space="preserve"> </w:t>
      </w:r>
      <w:r>
        <w:rPr>
          <w:b/>
        </w:rPr>
        <w:t xml:space="preserve">Geostatistical Analyst</w:t>
      </w:r>
      <w:r>
        <w:t xml:space="preserve"> </w:t>
      </w:r>
      <w:r>
        <w:t xml:space="preserve">are both checked and active. If either is unchecked, check it and click</w:t>
      </w:r>
      <w:r>
        <w:t xml:space="preserve"> </w:t>
      </w:r>
      <w:r>
        <w:rPr>
          <w:b/>
        </w:rPr>
        <w:t xml:space="preserve">OK</w:t>
      </w:r>
      <w:r>
        <w:t xml:space="preserve">.</w:t>
      </w:r>
    </w:p>
    <w:p>
      <w:pPr>
        <w:numPr>
          <w:ilvl w:val="0"/>
          <w:numId w:val="1000"/>
        </w:numPr>
      </w:pPr>
      <w:r>
        <w:rPr>
          <w:i/>
        </w:rPr>
        <w:t xml:space="preserve">[Figure: Licensing pane showing Spatial Analyst and Geostatistical Analyst both enabled]</w:t>
      </w:r>
    </w:p>
    <w:p>
      <w:pPr>
        <w:numPr>
          <w:ilvl w:val="0"/>
          <w:numId w:val="1003"/>
        </w:numPr>
      </w:pPr>
      <w:r>
        <w:t xml:space="preserve">In the</w:t>
      </w:r>
      <w:r>
        <w:t xml:space="preserve"> </w:t>
      </w:r>
      <w:r>
        <w:rPr>
          <w:b/>
        </w:rPr>
        <w:t xml:space="preserve">Catalog</w:t>
      </w:r>
      <w:r>
        <w:t xml:space="preserve"> </w:t>
      </w:r>
      <w:r>
        <w:t xml:space="preserve">pane, confirm that a file geodatabase named</w:t>
      </w:r>
      <w:r>
        <w:t xml:space="preserve"> </w:t>
      </w:r>
      <w:r>
        <w:rPr>
          <w:rStyle w:val="VerbatimChar"/>
        </w:rPr>
        <w:t xml:space="preserve">Lab05a_Interpolation.gdb</w:t>
      </w:r>
      <w:r>
        <w:t xml:space="preserve"> </w:t>
      </w:r>
      <w:r>
        <w:t xml:space="preserve">was created automatically.</w:t>
      </w:r>
    </w:p>
    <w:p>
      <w:pPr>
        <w:numPr>
          <w:ilvl w:val="0"/>
          <w:numId w:val="1003"/>
        </w:numPr>
      </w:pPr>
      <w:r>
        <w:t xml:space="preserve">On the</w:t>
      </w:r>
      <w:r>
        <w:t xml:space="preserve"> </w:t>
      </w:r>
      <w:r>
        <w:rPr>
          <w:b/>
        </w:rPr>
        <w:t xml:space="preserve">Map</w:t>
      </w:r>
      <w:r>
        <w:t xml:space="preserve"> </w:t>
      </w:r>
      <w:r>
        <w:t xml:space="preserve">tab, in the</w:t>
      </w:r>
      <w:r>
        <w:t xml:space="preserve"> </w:t>
      </w:r>
      <w:r>
        <w:rPr>
          <w:b/>
        </w:rPr>
        <w:t xml:space="preserve">Layer</w:t>
      </w:r>
      <w:r>
        <w:t xml:space="preserve"> </w:t>
      </w:r>
      <w:r>
        <w:t xml:space="preserve">group, click</w:t>
      </w:r>
      <w:r>
        <w:t xml:space="preserve"> </w:t>
      </w:r>
      <w:r>
        <w:rPr>
          <w:b/>
        </w:rPr>
        <w:t xml:space="preserve">Add Data</w:t>
      </w:r>
      <w:r>
        <w:t xml:space="preserve">. Navigate to</w:t>
      </w:r>
      <w:r>
        <w:t xml:space="preserve"> </w:t>
      </w:r>
      <w:r>
        <w:rPr>
          <w:rStyle w:val="VerbatimChar"/>
        </w:rPr>
        <w:t xml:space="preserve">W:\Lab05a\data\</w:t>
      </w:r>
      <w:r>
        <w:t xml:space="preserve"> </w:t>
      </w:r>
      <w:r>
        <w:t xml:space="preserve">and add</w:t>
      </w:r>
      <w:r>
        <w:t xml:space="preserve"> </w:t>
      </w:r>
      <w:r>
        <w:rPr>
          <w:rStyle w:val="VerbatimChar"/>
        </w:rPr>
        <w:t xml:space="preserve">phl_air_monitors.shp</w:t>
      </w:r>
      <w:r>
        <w:t xml:space="preserve"> </w:t>
      </w:r>
      <w:r>
        <w:t xml:space="preserve">and</w:t>
      </w:r>
      <w:r>
        <w:t xml:space="preserve"> </w:t>
      </w:r>
      <w:r>
        <w:rPr>
          <w:rStyle w:val="VerbatimChar"/>
        </w:rPr>
        <w:t xml:space="preserve">phl_boundary.shp</w:t>
      </w:r>
      <w:r>
        <w:t xml:space="preserve">.</w:t>
      </w:r>
    </w:p>
    <w:p>
      <w:pPr>
        <w:numPr>
          <w:ilvl w:val="0"/>
          <w:numId w:val="1003"/>
        </w:numPr>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phl_air_monitors</w:t>
      </w:r>
      <w:r>
        <w:t xml:space="preserve"> </w:t>
      </w:r>
      <w:r>
        <w:t xml:space="preserve">and select</w:t>
      </w:r>
      <w:r>
        <w:t xml:space="preserve"> </w:t>
      </w:r>
      <w:r>
        <w:rPr>
          <w:b/>
        </w:rPr>
        <w:t xml:space="preserve">Attribute Table</w:t>
      </w:r>
      <w:r>
        <w:t xml:space="preserve">. Locate the field</w:t>
      </w:r>
      <w:r>
        <w:t xml:space="preserve"> </w:t>
      </w:r>
      <w:r>
        <w:rPr>
          <w:rStyle w:val="VerbatimChar"/>
        </w:rPr>
        <w:t xml:space="preserve">PM25_MEAN</w:t>
      </w:r>
      <w:r>
        <w:t xml:space="preserve">. Note the range of values — these are summer mean PM2.5 concentrations in µg/m³. Close the table.</w:t>
      </w:r>
    </w:p>
    <w:p>
      <w:pPr>
        <w:numPr>
          <w:ilvl w:val="0"/>
          <w:numId w:val="1000"/>
        </w:numPr>
        <w:pStyle w:val="BlockText"/>
      </w:pPr>
      <w:r>
        <w:rPr>
          <w:b/>
        </w:rPr>
        <w:t xml:space="preserve">Public health note:</w:t>
      </w:r>
      <w:r>
        <w:t xml:space="preserve"> </w:t>
      </w:r>
      <w:r>
        <w:t xml:space="preserve">The EPA 24-hour PM2.5 NAAQS is 35 µg/m³; the annual standard is 9 µg/m³ (revised 2024). Monitors showing higher values are of greatest concern for respiratory and cardiovascular health, particularly in communities with high proportions of children, older adults, and people with pre-existing lung disease.</w:t>
      </w:r>
    </w:p>
    <w:p>
      <w:pPr>
        <w:numPr>
          <w:ilvl w:val="0"/>
          <w:numId w:val="1003"/>
        </w:numPr>
      </w:pPr>
      <w:r>
        <w:t xml:space="preserve">Symbolize</w:t>
      </w:r>
      <w:r>
        <w:t xml:space="preserve"> </w:t>
      </w:r>
      <w:r>
        <w:rPr>
          <w:rStyle w:val="VerbatimChar"/>
        </w:rPr>
        <w:t xml:space="preserve">phl_air_monitors</w:t>
      </w:r>
      <w:r>
        <w:t xml:space="preserve"> </w:t>
      </w:r>
      <w:r>
        <w:t xml:space="preserve">with</w:t>
      </w:r>
      <w:r>
        <w:t xml:space="preserve"> </w:t>
      </w:r>
      <w:r>
        <w:rPr>
          <w:b/>
        </w:rPr>
        <w:t xml:space="preserve">Graduated Symbols</w:t>
      </w:r>
      <w:r>
        <w:t xml:space="preserve"> </w:t>
      </w:r>
      <w:r>
        <w:t xml:space="preserve">on</w:t>
      </w:r>
      <w:r>
        <w:t xml:space="preserve"> </w:t>
      </w:r>
      <w:r>
        <w:rPr>
          <w:rStyle w:val="VerbatimChar"/>
        </w:rPr>
        <w:t xml:space="preserve">PM25_MEAN</w:t>
      </w:r>
      <w:r>
        <w:t xml:space="preserve"> </w:t>
      </w:r>
      <w:r>
        <w:t xml:space="preserve">so higher values appear as larger circles.</w:t>
      </w:r>
    </w:p>
    <w:p>
      <w:pPr>
        <w:numPr>
          <w:ilvl w:val="0"/>
          <w:numId w:val="1000"/>
        </w:numPr>
      </w:pPr>
      <w:r>
        <w:rPr>
          <w:i/>
        </w:rPr>
        <w:t xml:space="preserve">[Figure: Monitor points symbolized by PM25_MEAN, with phl_boundary outline visible]</w:t>
      </w:r>
    </w:p>
    <w:p>
      <w:pPr>
        <w:numPr>
          <w:ilvl w:val="0"/>
          <w:numId w:val="1000"/>
        </w:numPr>
        <w:pStyle w:val="BlockText"/>
      </w:pPr>
      <w:r>
        <w:rPr>
          <w:b/>
        </w:rPr>
        <w:t xml:space="preserve">Warning:</w:t>
      </w:r>
      <w:r>
        <w:t xml:space="preserve"> </w:t>
      </w:r>
      <w:r>
        <w:t xml:space="preserve">You have very few monitor points — deliberately. Interpolation will produce a smooth surface regardless of sample size, but smoothness is not accuracy. Keep this in mind throughout the lab.</w:t>
      </w:r>
    </w:p>
    <w:p>
      <w:r>
        <w:pict>
          <v:rect style="width:0;height:1.5pt" o:hralign="center" o:hrstd="t" o:hr="t"/>
        </w:pict>
      </w:r>
    </w:p>
    <w:p>
      <w:pPr>
        <w:pStyle w:val="Heading2"/>
      </w:pPr>
      <w:bookmarkStart w:id="27" w:name="X4a35d5b1f13eb9b823f0fbd126021bf32201a6a"/>
      <w:r>
        <w:t xml:space="preserve">Part 2: IDW Interpolation — Three Power Settings</w:t>
      </w:r>
      <w:bookmarkEnd w:id="27"/>
    </w:p>
    <w:p>
      <w:pPr>
        <w:pStyle w:val="FirstParagraph"/>
      </w:pPr>
      <w:r>
        <w:t xml:space="preserve">Run IDW three times, changing only the power parameter, then compare results.</w:t>
      </w:r>
    </w:p>
    <w:p>
      <w:pPr>
        <w:pStyle w:val="Heading3"/>
      </w:pPr>
      <w:bookmarkStart w:id="28" w:name="run-idw-power-1"/>
      <w:r>
        <w:t xml:space="preserve">Run IDW — Power 1</w:t>
      </w:r>
      <w:bookmarkEnd w:id="28"/>
    </w:p>
    <w:p>
      <w:pPr>
        <w:numPr>
          <w:ilvl w:val="0"/>
          <w:numId w:val="1004"/>
        </w:numPr>
      </w:pPr>
      <w:r>
        <w:t xml:space="preserve">Open the Geostatistical Wizard. On the</w:t>
      </w:r>
      <w:r>
        <w:t xml:space="preserve"> </w:t>
      </w:r>
      <w:r>
        <w:rPr>
          <w:b/>
        </w:rPr>
        <w:t xml:space="preserve">Analysis</w:t>
      </w:r>
      <w:r>
        <w:t xml:space="preserve"> </w:t>
      </w:r>
      <w:r>
        <w:t xml:space="preserve">tab, in the</w:t>
      </w:r>
      <w:r>
        <w:t xml:space="preserve"> </w:t>
      </w:r>
      <w:r>
        <w:rPr>
          <w:b/>
        </w:rPr>
        <w:t xml:space="preserve">Geostatistical Analysis</w:t>
      </w:r>
      <w:r>
        <w:t xml:space="preserve"> </w:t>
      </w:r>
      <w:r>
        <w:t xml:space="preserve">group, click</w:t>
      </w:r>
      <w:r>
        <w:t xml:space="preserve"> </w:t>
      </w:r>
      <w:r>
        <w:rPr>
          <w:b/>
        </w:rPr>
        <w:t xml:space="preserve">Geostatistical Wizard</w:t>
      </w:r>
      <w:r>
        <w:t xml:space="preserve">.</w:t>
      </w:r>
    </w:p>
    <w:p>
      <w:pPr>
        <w:numPr>
          <w:ilvl w:val="0"/>
          <w:numId w:val="1000"/>
        </w:numPr>
      </w:pPr>
      <w:r>
        <w:rPr>
          <w:i/>
        </w:rPr>
        <w:t xml:space="preserve">[Figure: Analysis tab ribbon with Geostatistical Wizard icon highlighted]</w:t>
      </w:r>
    </w:p>
    <w:p>
      <w:pPr>
        <w:numPr>
          <w:ilvl w:val="0"/>
          <w:numId w:val="1004"/>
        </w:numPr>
      </w:pPr>
      <w:r>
        <w:t xml:space="preserve">In the method selection window, select</w:t>
      </w:r>
      <w:r>
        <w:t xml:space="preserve"> </w:t>
      </w:r>
      <w:r>
        <w:rPr>
          <w:b/>
        </w:rPr>
        <w:t xml:space="preserve">Inverse Distance Weighting</w:t>
      </w:r>
      <w:r>
        <w:t xml:space="preserve">. Set the</w:t>
      </w:r>
      <w:r>
        <w:t xml:space="preserve"> </w:t>
      </w:r>
      <w:r>
        <w:rPr>
          <w:b/>
        </w:rPr>
        <w:t xml:space="preserve">Source Dataset</w:t>
      </w:r>
      <w:r>
        <w:t xml:space="preserve"> </w:t>
      </w:r>
      <w:r>
        <w:t xml:space="preserve">to</w:t>
      </w:r>
      <w:r>
        <w:t xml:space="preserve"> </w:t>
      </w:r>
      <w:r>
        <w:rPr>
          <w:rStyle w:val="VerbatimChar"/>
        </w:rPr>
        <w:t xml:space="preserve">phl_air_monitors</w:t>
      </w:r>
      <w:r>
        <w:t xml:space="preserve"> </w:t>
      </w:r>
      <w:r>
        <w:t xml:space="preserve">and the</w:t>
      </w:r>
      <w:r>
        <w:t xml:space="preserve"> </w:t>
      </w:r>
      <w:r>
        <w:rPr>
          <w:b/>
        </w:rPr>
        <w:t xml:space="preserve">Data Field</w:t>
      </w:r>
      <w:r>
        <w:t xml:space="preserve"> </w:t>
      </w:r>
      <w:r>
        <w:t xml:space="preserve">to</w:t>
      </w:r>
      <w:r>
        <w:t xml:space="preserve"> </w:t>
      </w:r>
      <w:r>
        <w:rPr>
          <w:rStyle w:val="VerbatimChar"/>
        </w:rPr>
        <w:t xml:space="preserve">PM25_MEAN</w:t>
      </w:r>
      <w:r>
        <w:t xml:space="preserve">. Leave</w:t>
      </w:r>
      <w:r>
        <w:t xml:space="preserve"> </w:t>
      </w:r>
      <w:r>
        <w:rPr>
          <w:b/>
        </w:rPr>
        <w:t xml:space="preserve">Weight Field</w:t>
      </w:r>
      <w:r>
        <w:t xml:space="preserve"> </w:t>
      </w:r>
      <w:r>
        <w:t xml:space="preserve">blank. Click</w:t>
      </w:r>
      <w:r>
        <w:t xml:space="preserve"> </w:t>
      </w:r>
      <w:r>
        <w:rPr>
          <w:b/>
        </w:rPr>
        <w:t xml:space="preserve">Next</w:t>
      </w:r>
      <w:r>
        <w:t xml:space="preserve">.</w:t>
      </w:r>
    </w:p>
    <w:p>
      <w:pPr>
        <w:numPr>
          <w:ilvl w:val="0"/>
          <w:numId w:val="1004"/>
        </w:numPr>
      </w:pPr>
      <w:r>
        <w:t xml:space="preserve">If a warning appears about multiple samples at the same location, select</w:t>
      </w:r>
      <w:r>
        <w:t xml:space="preserve"> </w:t>
      </w:r>
      <w:r>
        <w:rPr>
          <w:b/>
        </w:rPr>
        <w:t xml:space="preserve">Use Mean</w:t>
      </w:r>
      <w:r>
        <w:t xml:space="preserve"> </w:t>
      </w:r>
      <w:r>
        <w:t xml:space="preserve">and click</w:t>
      </w:r>
      <w:r>
        <w:t xml:space="preserve"> </w:t>
      </w:r>
      <w:r>
        <w:rPr>
          <w:b/>
        </w:rPr>
        <w:t xml:space="preserve">Next</w:t>
      </w:r>
      <w:r>
        <w:t xml:space="preserve">.</w:t>
      </w:r>
    </w:p>
    <w:p>
      <w:pPr>
        <w:numPr>
          <w:ilvl w:val="0"/>
          <w:numId w:val="1004"/>
        </w:numPr>
      </w:pPr>
      <w:r>
        <w:t xml:space="preserve">The parameter window displays a preview surface on the left and controls on the right. Set the following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Power</w:t>
            </w:r>
          </w:p>
        </w:tc>
        <w:tc>
          <w:p>
            <w:pPr>
              <w:numPr>
                <w:ilvl w:val="0"/>
                <w:numId w:val="1000"/>
              </w:numPr>
              <w:pStyle w:val="Compact"/>
              <w:jc w:val="left"/>
            </w:pPr>
            <w:r>
              <w:t xml:space="preserve">1</w:t>
            </w:r>
          </w:p>
        </w:tc>
      </w:tr>
      <w:tr>
        <w:tc>
          <w:p>
            <w:pPr>
              <w:numPr>
                <w:ilvl w:val="0"/>
                <w:numId w:val="1000"/>
              </w:numPr>
              <w:pStyle w:val="Compact"/>
              <w:jc w:val="left"/>
            </w:pPr>
            <w:r>
              <w:t xml:space="preserve">Neighborhood type</w:t>
            </w:r>
          </w:p>
        </w:tc>
        <w:tc>
          <w:p>
            <w:pPr>
              <w:numPr>
                <w:ilvl w:val="0"/>
                <w:numId w:val="1000"/>
              </w:numPr>
              <w:pStyle w:val="Compact"/>
              <w:jc w:val="left"/>
            </w:pPr>
            <w:r>
              <w:t xml:space="preserve">Standard</w:t>
            </w:r>
          </w:p>
        </w:tc>
      </w:tr>
      <w:tr>
        <w:tc>
          <w:p>
            <w:pPr>
              <w:numPr>
                <w:ilvl w:val="0"/>
                <w:numId w:val="1000"/>
              </w:numPr>
              <w:pStyle w:val="Compact"/>
              <w:jc w:val="left"/>
            </w:pPr>
            <w:r>
              <w:t xml:space="preserve">Max neighbors</w:t>
            </w:r>
          </w:p>
        </w:tc>
        <w:tc>
          <w:p>
            <w:pPr>
              <w:numPr>
                <w:ilvl w:val="0"/>
                <w:numId w:val="1000"/>
              </w:numPr>
              <w:pStyle w:val="Compact"/>
              <w:jc w:val="left"/>
            </w:pPr>
            <w:r>
              <w:t xml:space="preserve">10</w:t>
            </w:r>
          </w:p>
        </w:tc>
      </w:tr>
      <w:tr>
        <w:tc>
          <w:p>
            <w:pPr>
              <w:numPr>
                <w:ilvl w:val="0"/>
                <w:numId w:val="1000"/>
              </w:numPr>
              <w:pStyle w:val="Compact"/>
              <w:jc w:val="left"/>
            </w:pPr>
            <w:r>
              <w:t xml:space="preserve">Min neighbors</w:t>
            </w:r>
          </w:p>
        </w:tc>
        <w:tc>
          <w:p>
            <w:pPr>
              <w:numPr>
                <w:ilvl w:val="0"/>
                <w:numId w:val="1000"/>
              </w:numPr>
              <w:pStyle w:val="Compact"/>
              <w:jc w:val="left"/>
            </w:pPr>
            <w:r>
              <w:t xml:space="preserve">4</w:t>
            </w:r>
          </w:p>
        </w:tc>
      </w:tr>
      <w:tr>
        <w:tc>
          <w:p>
            <w:pPr>
              <w:numPr>
                <w:ilvl w:val="0"/>
                <w:numId w:val="1000"/>
              </w:numPr>
              <w:pStyle w:val="Compact"/>
              <w:jc w:val="left"/>
            </w:pPr>
            <w:r>
              <w:t xml:space="preserve">Sector type</w:t>
            </w:r>
          </w:p>
        </w:tc>
        <w:tc>
          <w:p>
            <w:pPr>
              <w:numPr>
                <w:ilvl w:val="0"/>
                <w:numId w:val="1000"/>
              </w:numPr>
              <w:pStyle w:val="Compact"/>
              <w:jc w:val="left"/>
            </w:pPr>
            <w:r>
              <w:t xml:space="preserve">1 Sector</w:t>
            </w:r>
          </w:p>
        </w:tc>
      </w:tr>
      <w:tr>
        <w:tc>
          <w:p>
            <w:pPr>
              <w:numPr>
                <w:ilvl w:val="0"/>
                <w:numId w:val="1000"/>
              </w:numPr>
              <w:pStyle w:val="Compact"/>
              <w:jc w:val="left"/>
            </w:pPr>
            <w:r>
              <w:t xml:space="preserve">Angle</w:t>
            </w:r>
          </w:p>
        </w:tc>
        <w:tc>
          <w:p>
            <w:pPr>
              <w:numPr>
                <w:ilvl w:val="0"/>
                <w:numId w:val="1000"/>
              </w:numPr>
              <w:pStyle w:val="Compact"/>
              <w:jc w:val="left"/>
            </w:pPr>
            <w:r>
              <w:t xml:space="preserve">0</w:t>
            </w:r>
          </w:p>
        </w:tc>
      </w:tr>
    </w:tbl>
    <w:p>
      <w:pPr>
        <w:numPr>
          <w:ilvl w:val="0"/>
          <w:numId w:val="1004"/>
        </w:numPr>
      </w:pPr>
      <w:r>
        <w:t xml:space="preserve">Click</w:t>
      </w:r>
      <w:r>
        <w:t xml:space="preserve"> </w:t>
      </w:r>
      <w:r>
        <w:rPr>
          <w:b/>
        </w:rPr>
        <w:t xml:space="preserve">Next</w:t>
      </w:r>
      <w:r>
        <w:t xml:space="preserve">. You will see the cross-validation window with a predicted vs. observed scatter plot on the left and summary statistics on the right.</w:t>
      </w:r>
      <w:r>
        <w:t xml:space="preserve"> </w:t>
      </w:r>
      <w:r>
        <w:rPr>
          <w:b/>
        </w:rPr>
        <w:t xml:space="preserve">Record the RMSE and standardized RMS</w:t>
      </w:r>
      <w:r>
        <w:t xml:space="preserve"> </w:t>
      </w:r>
      <w:r>
        <w:t xml:space="preserve">in your comparison table (see Deliverables). Click</w:t>
      </w:r>
      <w:r>
        <w:t xml:space="preserve"> </w:t>
      </w:r>
      <w:r>
        <w:rPr>
          <w:b/>
        </w:rPr>
        <w:t xml:space="preserve">Finish</w:t>
      </w:r>
      <w:r>
        <w:t xml:space="preserve">, then</w:t>
      </w:r>
      <w:r>
        <w:t xml:space="preserve"> </w:t>
      </w:r>
      <w:r>
        <w:rPr>
          <w:b/>
        </w:rPr>
        <w:t xml:space="preserve">OK</w:t>
      </w:r>
      <w:r>
        <w:t xml:space="preserve"> </w:t>
      </w:r>
      <w:r>
        <w:t xml:space="preserve">on the Method Report.</w:t>
      </w:r>
    </w:p>
    <w:p>
      <w:pPr>
        <w:numPr>
          <w:ilvl w:val="0"/>
          <w:numId w:val="1000"/>
        </w:numPr>
      </w:pPr>
      <w:r>
        <w:rPr>
          <w:i/>
        </w:rPr>
        <w:t xml:space="preserve">[Figure: Cross-validation window for IDW Power=1, showing predicted vs. observed plot and RMSE value]</w:t>
      </w:r>
    </w:p>
    <w:p>
      <w:pPr>
        <w:numPr>
          <w:ilvl w:val="0"/>
          <w:numId w:val="1004"/>
        </w:numPr>
      </w:pPr>
      <w:r>
        <w:t xml:space="preserve">The IDW surface appears in your map as a filled contour layer. In the</w:t>
      </w:r>
      <w:r>
        <w:t xml:space="preserve"> </w:t>
      </w:r>
      <w:r>
        <w:rPr>
          <w:b/>
        </w:rPr>
        <w:t xml:space="preserve">Contents</w:t>
      </w:r>
      <w:r>
        <w:t xml:space="preserve"> </w:t>
      </w:r>
      <w:r>
        <w:t xml:space="preserve">pane, right-click the new layer and rename it</w:t>
      </w:r>
      <w:r>
        <w:t xml:space="preserve"> </w:t>
      </w:r>
      <w:r>
        <w:rPr>
          <w:rStyle w:val="VerbatimChar"/>
        </w:rPr>
        <w:t xml:space="preserve">IDW_Power1</w:t>
      </w:r>
      <w:r>
        <w:t xml:space="preserve">.</w:t>
      </w:r>
    </w:p>
    <w:p>
      <w:pPr>
        <w:pStyle w:val="Heading3"/>
      </w:pPr>
      <w:bookmarkStart w:id="29" w:name="run-idw-power-2-and-power-3"/>
      <w:r>
        <w:t xml:space="preserve">Run IDW — Power 2 and Power 3</w:t>
      </w:r>
      <w:bookmarkEnd w:id="29"/>
    </w:p>
    <w:p>
      <w:pPr>
        <w:numPr>
          <w:ilvl w:val="0"/>
          <w:numId w:val="1005"/>
        </w:numPr>
      </w:pPr>
      <w:r>
        <w:t xml:space="preserve">Repeat steps 7–12 twice: once with</w:t>
      </w:r>
      <w:r>
        <w:t xml:space="preserve"> </w:t>
      </w:r>
      <w:r>
        <w:rPr>
          <w:b/>
        </w:rPr>
        <w:t xml:space="preserve">Power = 2</w:t>
      </w:r>
      <w:r>
        <w:t xml:space="preserve"> </w:t>
      </w:r>
      <w:r>
        <w:t xml:space="preserve">and once with</w:t>
      </w:r>
      <w:r>
        <w:t xml:space="preserve"> </w:t>
      </w:r>
      <w:r>
        <w:rPr>
          <w:b/>
        </w:rPr>
        <w:t xml:space="preserve">Power = 3</w:t>
      </w:r>
      <w:r>
        <w:t xml:space="preserve">. Name the outputs</w:t>
      </w:r>
      <w:r>
        <w:t xml:space="preserve"> </w:t>
      </w:r>
      <w:r>
        <w:rPr>
          <w:rStyle w:val="VerbatimChar"/>
        </w:rPr>
        <w:t xml:space="preserve">IDW_Power2</w:t>
      </w:r>
      <w:r>
        <w:t xml:space="preserve"> </w:t>
      </w:r>
      <w:r>
        <w:t xml:space="preserve">and</w:t>
      </w:r>
      <w:r>
        <w:t xml:space="preserve"> </w:t>
      </w:r>
      <w:r>
        <w:rPr>
          <w:rStyle w:val="VerbatimChar"/>
        </w:rPr>
        <w:t xml:space="preserve">IDW_Power3</w:t>
      </w:r>
      <w:r>
        <w:t xml:space="preserve">. Record RMSE and standardized RMS each time.</w:t>
      </w:r>
    </w:p>
    <w:p>
      <w:pPr>
        <w:numPr>
          <w:ilvl w:val="0"/>
          <w:numId w:val="1000"/>
        </w:numPr>
        <w:pStyle w:val="BlockText"/>
      </w:pPr>
      <w:r>
        <w:rPr>
          <w:b/>
        </w:rPr>
        <w:t xml:space="preserve">Note:</w:t>
      </w:r>
      <w:r>
        <w:t xml:space="preserve"> </w:t>
      </w:r>
      <w:r>
        <w:t xml:space="preserve">A higher power gives more weight to nearby monitors and less to distant ones, creating a surface that drops off more steeply away from each point. With sparse monitors, higher powers can produce</w:t>
      </w:r>
      <w:r>
        <w:t xml:space="preserve"> </w:t>
      </w:r>
      <w:r>
        <w:t xml:space="preserve">“</w:t>
      </w:r>
      <w:r>
        <w:t xml:space="preserve">bull’s-eye</w:t>
      </w:r>
      <w:r>
        <w:t xml:space="preserve">”</w:t>
      </w:r>
      <w:r>
        <w:t xml:space="preserve"> </w:t>
      </w:r>
      <w:r>
        <w:t xml:space="preserve">artifacts around each station.</w:t>
      </w:r>
    </w:p>
    <w:p>
      <w:pPr>
        <w:pStyle w:val="Heading3"/>
      </w:pPr>
      <w:bookmarkStart w:id="30" w:name="X01fc14702927f7dcd9012efe65611705cd0aa85"/>
      <w:r>
        <w:t xml:space="preserve">Clip/Mask IDW Surfaces to the City Boundary</w:t>
      </w:r>
      <w:bookmarkEnd w:id="30"/>
    </w:p>
    <w:p>
      <w:pPr>
        <w:numPr>
          <w:ilvl w:val="0"/>
          <w:numId w:val="1006"/>
        </w:numPr>
      </w:pPr>
      <w:r>
        <w:t xml:space="preserve">Open the</w:t>
      </w:r>
      <w:r>
        <w:t xml:space="preserve"> </w:t>
      </w:r>
      <w:r>
        <w:rPr>
          <w:b/>
        </w:rPr>
        <w:t xml:space="preserve">Extract by Mask</w:t>
      </w:r>
      <w:r>
        <w:t xml:space="preserve"> </w:t>
      </w:r>
      <w:r>
        <w:t xml:space="preserve">tool (search the</w:t>
      </w:r>
      <w:r>
        <w:t xml:space="preserve"> </w:t>
      </w:r>
      <w:r>
        <w:rPr>
          <w:b/>
        </w:rPr>
        <w:t xml:space="preserve">Geoprocessing</w:t>
      </w:r>
      <w:r>
        <w:t xml:space="preserve"> </w:t>
      </w:r>
      <w:r>
        <w:t xml:space="preserve">pane, or navigate to</w:t>
      </w:r>
      <w:r>
        <w:t xml:space="preserve"> </w:t>
      </w:r>
      <w:r>
        <w:rPr>
          <w:b/>
        </w:rPr>
        <w:t xml:space="preserve">Spatial Analyst Tools</w:t>
      </w:r>
      <w:r>
        <w:t xml:space="preserve"> </w:t>
      </w:r>
      <w:r>
        <w:t xml:space="preserve">→</w:t>
      </w:r>
      <w:r>
        <w:t xml:space="preserve"> </w:t>
      </w:r>
      <w:r>
        <w:rPr>
          <w:b/>
        </w:rPr>
        <w:t xml:space="preserve">Extraction</w:t>
      </w:r>
      <w:r>
        <w:t xml:space="preserve"> </w:t>
      </w:r>
      <w:r>
        <w:t xml:space="preserve">→</w:t>
      </w:r>
      <w:r>
        <w:t xml:space="preserve"> </w:t>
      </w:r>
      <w:r>
        <w:rPr>
          <w:b/>
        </w:rPr>
        <w:t xml:space="preserve">Extract by Mask</w:t>
      </w:r>
      <w:r>
        <w:t xml:space="preserve">). This clips each surface to the city boundary.</w:t>
      </w:r>
    </w:p>
    <w:p>
      <w:pPr>
        <w:numPr>
          <w:ilvl w:val="0"/>
          <w:numId w:val="1006"/>
        </w:numPr>
      </w:pPr>
      <w:r>
        <w:t xml:space="preserve">Run</w:t>
      </w:r>
      <w:r>
        <w:t xml:space="preserve"> </w:t>
      </w:r>
      <w:r>
        <w:rPr>
          <w:b/>
        </w:rPr>
        <w:t xml:space="preserve">Extract by Mask</w:t>
      </w:r>
      <w:r>
        <w:t xml:space="preserve"> </w:t>
      </w:r>
      <w:r>
        <w:t xml:space="preserve">for each of the three IDW layers: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raster</w:t>
            </w:r>
          </w:p>
        </w:tc>
        <w:tc>
          <w:p>
            <w:pPr>
              <w:numPr>
                <w:ilvl w:val="0"/>
                <w:numId w:val="1000"/>
              </w:numPr>
              <w:pStyle w:val="Compact"/>
              <w:jc w:val="left"/>
            </w:pPr>
            <w:r>
              <w:rPr>
                <w:rStyle w:val="VerbatimChar"/>
              </w:rPr>
              <w:t xml:space="preserve">IDW_Power1</w:t>
            </w:r>
            <w:r>
              <w:t xml:space="preserve"> </w:t>
            </w:r>
            <w:r>
              <w:t xml:space="preserve">(then repeat for Power2, Power3)</w:t>
            </w:r>
          </w:p>
        </w:tc>
      </w:tr>
      <w:tr>
        <w:tc>
          <w:p>
            <w:pPr>
              <w:numPr>
                <w:ilvl w:val="0"/>
                <w:numId w:val="1000"/>
              </w:numPr>
              <w:pStyle w:val="Compact"/>
              <w:jc w:val="left"/>
            </w:pPr>
            <w:r>
              <w:t xml:space="preserve">Input raster or feature mask data</w:t>
            </w:r>
          </w:p>
        </w:tc>
        <w:tc>
          <w:p>
            <w:pPr>
              <w:numPr>
                <w:ilvl w:val="0"/>
                <w:numId w:val="1000"/>
              </w:numPr>
              <w:pStyle w:val="Compact"/>
              <w:jc w:val="left"/>
            </w:pPr>
            <w:r>
              <w:rPr>
                <w:rStyle w:val="VerbatimChar"/>
              </w:rPr>
              <w:t xml:space="preserve">phl_boundary</w:t>
            </w:r>
          </w:p>
        </w:tc>
      </w:tr>
      <w:tr>
        <w:tc>
          <w:p>
            <w:pPr>
              <w:numPr>
                <w:ilvl w:val="0"/>
                <w:numId w:val="1000"/>
              </w:numPr>
              <w:pStyle w:val="Compact"/>
              <w:jc w:val="left"/>
            </w:pPr>
            <w:r>
              <w:t xml:space="preserve">Output raster</w:t>
            </w:r>
          </w:p>
        </w:tc>
        <w:tc>
          <w:p>
            <w:pPr>
              <w:numPr>
                <w:ilvl w:val="0"/>
                <w:numId w:val="1000"/>
              </w:numPr>
              <w:pStyle w:val="Compact"/>
              <w:jc w:val="left"/>
            </w:pPr>
            <w:r>
              <w:rPr>
                <w:rStyle w:val="VerbatimChar"/>
              </w:rPr>
              <w:t xml:space="preserve">IDW_P1_clip</w:t>
            </w:r>
            <w:r>
              <w:t xml:space="preserve">,</w:t>
            </w:r>
            <w:r>
              <w:t xml:space="preserve"> </w:t>
            </w:r>
            <w:r>
              <w:rPr>
                <w:rStyle w:val="VerbatimChar"/>
              </w:rPr>
              <w:t xml:space="preserve">IDW_P2_clip</w:t>
            </w:r>
            <w:r>
              <w:t xml:space="preserve">,</w:t>
            </w:r>
            <w:r>
              <w:t xml:space="preserve"> </w:t>
            </w:r>
            <w:r>
              <w:rPr>
                <w:rStyle w:val="VerbatimChar"/>
              </w:rPr>
              <w:t xml:space="preserve">IDW_P3_clip</w:t>
            </w:r>
            <w:r>
              <w:t xml:space="preserve"> </w:t>
            </w:r>
            <w:r>
              <w:t xml:space="preserve">(save to geodatabase)</w:t>
            </w:r>
          </w:p>
        </w:tc>
      </w:tr>
    </w:tbl>
    <w:p>
      <w:pPr>
        <w:numPr>
          <w:ilvl w:val="0"/>
          <w:numId w:val="1006"/>
        </w:numPr>
      </w:pPr>
      <w:r>
        <w:t xml:space="preserve">Turn off the unclipped IDW layers. Confirm the clipped surfaces align with the boundary.</w:t>
      </w:r>
    </w:p>
    <w:p>
      <w:r>
        <w:pict>
          <v:rect style="width:0;height:1.5pt" o:hralign="center" o:hrstd="t" o:hr="t"/>
        </w:pict>
      </w:r>
    </w:p>
    <w:p>
      <w:pPr>
        <w:pStyle w:val="Heading2"/>
      </w:pPr>
      <w:bookmarkStart w:id="31" w:name="X8b9a4d4e246a879114181338e6a6f06803cabcc"/>
      <w:r>
        <w:t xml:space="preserve">Part 3: Kriging — Ordinary Kriging and Empirical Bayesian Kriging</w:t>
      </w:r>
      <w:bookmarkEnd w:id="31"/>
    </w:p>
    <w:p>
      <w:pPr>
        <w:pStyle w:val="Heading3"/>
      </w:pPr>
      <w:bookmarkStart w:id="32" w:name="ordinary-kriging"/>
      <w:r>
        <w:t xml:space="preserve">Ordinary Kriging</w:t>
      </w:r>
      <w:bookmarkEnd w:id="32"/>
    </w:p>
    <w:p>
      <w:pPr>
        <w:numPr>
          <w:ilvl w:val="0"/>
          <w:numId w:val="1007"/>
        </w:numPr>
      </w:pPr>
      <w:r>
        <w:t xml:space="preserve">Open the</w:t>
      </w:r>
      <w:r>
        <w:t xml:space="preserve"> </w:t>
      </w:r>
      <w:r>
        <w:rPr>
          <w:b/>
        </w:rPr>
        <w:t xml:space="preserve">Geostatistical Wizard</w:t>
      </w:r>
      <w:r>
        <w:t xml:space="preserve"> </w:t>
      </w:r>
      <w:r>
        <w:t xml:space="preserve">again (Analysis tab). Select</w:t>
      </w:r>
      <w:r>
        <w:t xml:space="preserve"> </w:t>
      </w:r>
      <w:r>
        <w:rPr>
          <w:b/>
        </w:rPr>
        <w:t xml:space="preserve">Kriging / Cokriging</w:t>
      </w:r>
      <w:r>
        <w:t xml:space="preserve">, set the source dataset to</w:t>
      </w:r>
      <w:r>
        <w:t xml:space="preserve"> </w:t>
      </w:r>
      <w:r>
        <w:rPr>
          <w:rStyle w:val="VerbatimChar"/>
        </w:rPr>
        <w:t xml:space="preserve">phl_air_monitors</w:t>
      </w:r>
      <w:r>
        <w:t xml:space="preserve">, and the data field to</w:t>
      </w:r>
      <w:r>
        <w:t xml:space="preserve"> </w:t>
      </w:r>
      <w:r>
        <w:rPr>
          <w:rStyle w:val="VerbatimChar"/>
        </w:rPr>
        <w:t xml:space="preserve">PM25_MEAN</w:t>
      </w:r>
      <w:r>
        <w:t xml:space="preserve">. Click</w:t>
      </w:r>
      <w:r>
        <w:t xml:space="preserve"> </w:t>
      </w:r>
      <w:r>
        <w:rPr>
          <w:b/>
        </w:rPr>
        <w:t xml:space="preserve">Next</w:t>
      </w:r>
      <w:r>
        <w:t xml:space="preserve">. Use Mean for coincident points if prompted.</w:t>
      </w:r>
    </w:p>
    <w:p>
      <w:pPr>
        <w:numPr>
          <w:ilvl w:val="0"/>
          <w:numId w:val="1007"/>
        </w:numPr>
      </w:pPr>
      <w:r>
        <w:t xml:space="preserve">On the Kriging type screen, choose</w:t>
      </w:r>
      <w:r>
        <w:t xml:space="preserve"> </w:t>
      </w:r>
      <w:r>
        <w:rPr>
          <w:b/>
        </w:rPr>
        <w:t xml:space="preserve">Ordinary Kriging</w:t>
      </w:r>
      <w:r>
        <w:t xml:space="preserve"> </w:t>
      </w:r>
      <w:r>
        <w:t xml:space="preserve">with the</w:t>
      </w:r>
      <w:r>
        <w:t xml:space="preserve"> </w:t>
      </w:r>
      <w:r>
        <w:rPr>
          <w:b/>
        </w:rPr>
        <w:t xml:space="preserve">Prediction</w:t>
      </w:r>
      <w:r>
        <w:t xml:space="preserve"> </w:t>
      </w:r>
      <w:r>
        <w:t xml:space="preserve">output type. Leave the transformation type as</w:t>
      </w:r>
      <w:r>
        <w:t xml:space="preserve"> </w:t>
      </w:r>
      <w:r>
        <w:rPr>
          <w:b/>
        </w:rPr>
        <w:t xml:space="preserve">None</w:t>
      </w:r>
      <w:r>
        <w:t xml:space="preserve"> </w:t>
      </w:r>
      <w:r>
        <w:t xml:space="preserve">for the first run. Click</w:t>
      </w:r>
      <w:r>
        <w:t xml:space="preserve"> </w:t>
      </w:r>
      <w:r>
        <w:rPr>
          <w:b/>
        </w:rPr>
        <w:t xml:space="preserve">Next</w:t>
      </w:r>
      <w:r>
        <w:t xml:space="preserve">.</w:t>
      </w:r>
    </w:p>
    <w:p>
      <w:pPr>
        <w:numPr>
          <w:ilvl w:val="0"/>
          <w:numId w:val="1007"/>
        </w:numPr>
      </w:pPr>
      <w:r>
        <w:t xml:space="preserve">The semivariogram/covariance modeling window appears. This panel shows how spatial autocorrelation in PM2.5 changes with distance between monitors.</w:t>
      </w:r>
    </w:p>
    <w:p>
      <w:pPr>
        <w:numPr>
          <w:ilvl w:val="0"/>
          <w:numId w:val="1000"/>
        </w:numPr>
      </w:pPr>
      <w:r>
        <w:rPr>
          <w:i/>
        </w:rPr>
        <w:t xml:space="preserve">[Figure: Semivariogram modeling window showing binned pairs, the fitted model curve, nugget, and sill]</w:t>
      </w:r>
    </w:p>
    <w:p>
      <w:pPr>
        <w:numPr>
          <w:ilvl w:val="0"/>
          <w:numId w:val="1000"/>
        </w:numPr>
        <w:pStyle w:val="BlockText"/>
      </w:pPr>
      <w:r>
        <w:rPr>
          <w:b/>
        </w:rPr>
        <w:t xml:space="preserve">Public health note:</w:t>
      </w:r>
      <w:r>
        <w:t xml:space="preserve"> </w:t>
      </w:r>
      <w:r>
        <w:t xml:space="preserve">The semivariogram’s</w:t>
      </w:r>
      <w:r>
        <w:t xml:space="preserve"> </w:t>
      </w:r>
      <w:r>
        <w:rPr>
          <w:b/>
        </w:rPr>
        <w:t xml:space="preserve">range</w:t>
      </w:r>
      <w:r>
        <w:t xml:space="preserve"> </w:t>
      </w:r>
      <w:r>
        <w:t xml:space="preserve">(where the curve levels off) represents the distance beyond which monitors no longer predict each other. If that range is small relative to the gaps between monitors, predictions in those gaps will have high uncertainty — exactly the situation with sparse air-quality networks.</w:t>
      </w:r>
    </w:p>
    <w:p>
      <w:pPr>
        <w:numPr>
          <w:ilvl w:val="0"/>
          <w:numId w:val="1007"/>
        </w:numPr>
      </w:pPr>
      <w:r>
        <w:t xml:space="preserve">Accept the default semivariogram parameters for now. Click</w:t>
      </w:r>
      <w:r>
        <w:t xml:space="preserve"> </w:t>
      </w:r>
      <w:r>
        <w:rPr>
          <w:b/>
        </w:rPr>
        <w:t xml:space="preserve">Next</w:t>
      </w:r>
      <w:r>
        <w:t xml:space="preserve">. Review the neighborhood settings (leave at defaults). Click</w:t>
      </w:r>
      <w:r>
        <w:t xml:space="preserve"> </w:t>
      </w:r>
      <w:r>
        <w:rPr>
          <w:b/>
        </w:rPr>
        <w:t xml:space="preserve">Next</w:t>
      </w:r>
      <w:r>
        <w:t xml:space="preserve"> </w:t>
      </w:r>
      <w:r>
        <w:t xml:space="preserve">to reach the cross-validation window.</w:t>
      </w:r>
      <w:r>
        <w:t xml:space="preserve"> </w:t>
      </w:r>
      <w:r>
        <w:rPr>
          <w:b/>
        </w:rPr>
        <w:t xml:space="preserve">Record RMSE and standardized RMS.</w:t>
      </w:r>
      <w:r>
        <w:t xml:space="preserve"> </w:t>
      </w:r>
      <w:r>
        <w:t xml:space="preserve">Click</w:t>
      </w:r>
      <w:r>
        <w:t xml:space="preserve"> </w:t>
      </w:r>
      <w:r>
        <w:rPr>
          <w:b/>
        </w:rPr>
        <w:t xml:space="preserve">Finish</w:t>
      </w:r>
      <w:r>
        <w:t xml:space="preserve"> </w:t>
      </w:r>
      <w:r>
        <w:t xml:space="preserve">→</w:t>
      </w:r>
      <w:r>
        <w:t xml:space="preserve"> </w:t>
      </w:r>
      <w:r>
        <w:rPr>
          <w:b/>
        </w:rPr>
        <w:t xml:space="preserve">OK</w:t>
      </w:r>
      <w:r>
        <w:t xml:space="preserve">.</w:t>
      </w:r>
    </w:p>
    <w:p>
      <w:pPr>
        <w:numPr>
          <w:ilvl w:val="0"/>
          <w:numId w:val="1007"/>
        </w:numPr>
      </w:pPr>
      <w:r>
        <w:t xml:space="preserve">Rename the new layer</w:t>
      </w:r>
      <w:r>
        <w:t xml:space="preserve"> </w:t>
      </w:r>
      <w:r>
        <w:rPr>
          <w:rStyle w:val="VerbatimChar"/>
        </w:rPr>
        <w:t xml:space="preserve">Kriging_Ordinary</w:t>
      </w:r>
      <w:r>
        <w:t xml:space="preserve">. Run</w:t>
      </w:r>
      <w:r>
        <w:t xml:space="preserve"> </w:t>
      </w:r>
      <w:r>
        <w:rPr>
          <w:b/>
        </w:rPr>
        <w:t xml:space="preserve">Extract by Mask</w:t>
      </w:r>
      <w:r>
        <w:t xml:space="preserve"> </w:t>
      </w:r>
      <w:r>
        <w:t xml:space="preserve">as in step 14–15 to clip it to</w:t>
      </w:r>
      <w:r>
        <w:t xml:space="preserve"> </w:t>
      </w:r>
      <w:r>
        <w:rPr>
          <w:rStyle w:val="VerbatimChar"/>
        </w:rPr>
        <w:t xml:space="preserve">phl_boundary</w:t>
      </w:r>
      <w:r>
        <w:t xml:space="preserve">. Save the output as</w:t>
      </w:r>
      <w:r>
        <w:t xml:space="preserve"> </w:t>
      </w:r>
      <w:r>
        <w:rPr>
          <w:rStyle w:val="VerbatimChar"/>
        </w:rPr>
        <w:t xml:space="preserve">Kriging_Ord_clip</w:t>
      </w:r>
      <w:r>
        <w:t xml:space="preserve">.</w:t>
      </w:r>
    </w:p>
    <w:p>
      <w:pPr>
        <w:pStyle w:val="Heading3"/>
      </w:pPr>
      <w:bookmarkStart w:id="33" w:name="empirical-bayesian-kriging"/>
      <w:r>
        <w:t xml:space="preserve">Empirical Bayesian Kriging</w:t>
      </w:r>
      <w:bookmarkEnd w:id="33"/>
    </w:p>
    <w:p>
      <w:pPr>
        <w:numPr>
          <w:ilvl w:val="0"/>
          <w:numId w:val="1008"/>
        </w:numPr>
      </w:pPr>
      <w:r>
        <w:t xml:space="preserve">Open the</w:t>
      </w:r>
      <w:r>
        <w:t xml:space="preserve"> </w:t>
      </w:r>
      <w:r>
        <w:rPr>
          <w:b/>
        </w:rPr>
        <w:t xml:space="preserve">Geostatistical Wizard</w:t>
      </w:r>
      <w:r>
        <w:t xml:space="preserve"> </w:t>
      </w:r>
      <w:r>
        <w:t xml:space="preserve">again. Select</w:t>
      </w:r>
      <w:r>
        <w:t xml:space="preserve"> </w:t>
      </w:r>
      <w:r>
        <w:rPr>
          <w:b/>
        </w:rPr>
        <w:t xml:space="preserve">Empirical Bayesian Kriging</w:t>
      </w:r>
      <w:r>
        <w:t xml:space="preserve">. Set the source dataset to</w:t>
      </w:r>
      <w:r>
        <w:t xml:space="preserve"> </w:t>
      </w:r>
      <w:r>
        <w:rPr>
          <w:rStyle w:val="VerbatimChar"/>
        </w:rPr>
        <w:t xml:space="preserve">phl_air_monitors</w:t>
      </w:r>
      <w:r>
        <w:t xml:space="preserve"> </w:t>
      </w:r>
      <w:r>
        <w:t xml:space="preserve">and the data field to</w:t>
      </w:r>
      <w:r>
        <w:t xml:space="preserve"> </w:t>
      </w:r>
      <w:r>
        <w:rPr>
          <w:rStyle w:val="VerbatimChar"/>
        </w:rPr>
        <w:t xml:space="preserve">PM25_MEAN</w:t>
      </w:r>
      <w:r>
        <w:t xml:space="preserve">. Click</w:t>
      </w:r>
      <w:r>
        <w:t xml:space="preserve"> </w:t>
      </w:r>
      <w:r>
        <w:rPr>
          <w:b/>
        </w:rPr>
        <w:t xml:space="preserve">Next</w:t>
      </w:r>
      <w:r>
        <w:t xml:space="preserve">.</w:t>
      </w:r>
    </w:p>
    <w:p>
      <w:pPr>
        <w:numPr>
          <w:ilvl w:val="0"/>
          <w:numId w:val="1008"/>
        </w:numPr>
      </w:pPr>
      <w:r>
        <w:t xml:space="preserve">On the parameter page, leave all settings at their defaults. EBK fits many semivariogram models and averages them, which often gives better results with small sample sizes. Click</w:t>
      </w:r>
      <w:r>
        <w:t xml:space="preserve"> </w:t>
      </w:r>
      <w:r>
        <w:rPr>
          <w:b/>
        </w:rPr>
        <w:t xml:space="preserve">Next</w:t>
      </w:r>
      <w:r>
        <w:t xml:space="preserve">.</w:t>
      </w:r>
    </w:p>
    <w:p>
      <w:pPr>
        <w:numPr>
          <w:ilvl w:val="0"/>
          <w:numId w:val="1008"/>
        </w:numPr>
      </w:pPr>
      <w:r>
        <w:t xml:space="preserve">Review the cross-validation window.</w:t>
      </w:r>
      <w:r>
        <w:t xml:space="preserve"> </w:t>
      </w:r>
      <w:r>
        <w:rPr>
          <w:b/>
        </w:rPr>
        <w:t xml:space="preserve">Record RMSE and standardized RMS.</w:t>
      </w:r>
      <w:r>
        <w:t xml:space="preserve"> </w:t>
      </w:r>
      <w:r>
        <w:t xml:space="preserve">Click</w:t>
      </w:r>
      <w:r>
        <w:t xml:space="preserve"> </w:t>
      </w:r>
      <w:r>
        <w:rPr>
          <w:b/>
        </w:rPr>
        <w:t xml:space="preserve">Finish</w:t>
      </w:r>
      <w:r>
        <w:t xml:space="preserve"> </w:t>
      </w:r>
      <w:r>
        <w:t xml:space="preserve">→</w:t>
      </w:r>
      <w:r>
        <w:t xml:space="preserve"> </w:t>
      </w:r>
      <w:r>
        <w:rPr>
          <w:b/>
        </w:rPr>
        <w:t xml:space="preserve">OK</w:t>
      </w:r>
      <w:r>
        <w:t xml:space="preserve">.</w:t>
      </w:r>
    </w:p>
    <w:p>
      <w:pPr>
        <w:numPr>
          <w:ilvl w:val="0"/>
          <w:numId w:val="1008"/>
        </w:numPr>
      </w:pPr>
      <w:r>
        <w:t xml:space="preserve">Rename the layer</w:t>
      </w:r>
      <w:r>
        <w:t xml:space="preserve"> </w:t>
      </w:r>
      <w:r>
        <w:rPr>
          <w:rStyle w:val="VerbatimChar"/>
        </w:rPr>
        <w:t xml:space="preserve">Kriging_EBK</w:t>
      </w:r>
      <w:r>
        <w:t xml:space="preserve">. Clip it to</w:t>
      </w:r>
      <w:r>
        <w:t xml:space="preserve"> </w:t>
      </w:r>
      <w:r>
        <w:rPr>
          <w:rStyle w:val="VerbatimChar"/>
        </w:rPr>
        <w:t xml:space="preserve">phl_boundary</w:t>
      </w:r>
      <w:r>
        <w:t xml:space="preserve"> </w:t>
      </w:r>
      <w:r>
        <w:t xml:space="preserve">with</w:t>
      </w:r>
      <w:r>
        <w:t xml:space="preserve"> </w:t>
      </w:r>
      <w:r>
        <w:rPr>
          <w:b/>
        </w:rPr>
        <w:t xml:space="preserve">Extract by Mask</w:t>
      </w:r>
      <w:r>
        <w:t xml:space="preserve">. Save as</w:t>
      </w:r>
      <w:r>
        <w:t xml:space="preserve"> </w:t>
      </w:r>
      <w:r>
        <w:rPr>
          <w:rStyle w:val="VerbatimChar"/>
        </w:rPr>
        <w:t xml:space="preserve">Kriging_EBK_clip</w:t>
      </w:r>
      <w:r>
        <w:t xml:space="preserve">.</w:t>
      </w:r>
    </w:p>
    <w:p>
      <w:r>
        <w:pict>
          <v:rect style="width:0;height:1.5pt" o:hralign="center" o:hrstd="t" o:hr="t"/>
        </w:pict>
      </w:r>
    </w:p>
    <w:p>
      <w:pPr>
        <w:pStyle w:val="Heading2"/>
      </w:pPr>
      <w:bookmarkStart w:id="34" w:name="Xd0e6f7fd51703b018a9de7da553ddf4ad89f287"/>
      <w:r>
        <w:t xml:space="preserve">Part 4: Compare and Symbolize the Surfaces</w:t>
      </w:r>
      <w:bookmarkEnd w:id="34"/>
    </w:p>
    <w:p>
      <w:pPr>
        <w:pStyle w:val="Heading3"/>
      </w:pPr>
      <w:bookmarkStart w:id="35" w:name="Xee2b9ec5a612bfaf653cf46d2131a2b0f86e667"/>
      <w:r>
        <w:t xml:space="preserve">Build the cross-validation comparison table</w:t>
      </w:r>
      <w:bookmarkEnd w:id="35"/>
    </w:p>
    <w:p>
      <w:pPr>
        <w:numPr>
          <w:ilvl w:val="0"/>
          <w:numId w:val="1009"/>
        </w:numPr>
      </w:pPr>
      <w:r>
        <w:t xml:space="preserve">In your lab write-up, complete the following table: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Method</w:t>
            </w:r>
          </w:p>
        </w:tc>
        <w:tc>
          <w:tcPr>
            <w:tcBorders>
              <w:bottom w:val="single"/>
            </w:tcBorders>
            <w:vAlign w:val="bottom"/>
          </w:tcPr>
          <w:p>
            <w:pPr>
              <w:numPr>
                <w:ilvl w:val="0"/>
                <w:numId w:val="1000"/>
              </w:numPr>
              <w:pStyle w:val="Compact"/>
              <w:jc w:val="left"/>
            </w:pPr>
            <w:r>
              <w:t xml:space="preserve">Setting</w:t>
            </w:r>
          </w:p>
        </w:tc>
        <w:tc>
          <w:tcPr>
            <w:tcBorders>
              <w:bottom w:val="single"/>
            </w:tcBorders>
            <w:vAlign w:val="bottom"/>
          </w:tcPr>
          <w:p>
            <w:pPr>
              <w:numPr>
                <w:ilvl w:val="0"/>
                <w:numId w:val="1000"/>
              </w:numPr>
              <w:pStyle w:val="Compact"/>
              <w:jc w:val="left"/>
            </w:pPr>
            <w:r>
              <w:t xml:space="preserve">RMSE</w:t>
            </w:r>
          </w:p>
        </w:tc>
        <w:tc>
          <w:tcPr>
            <w:tcBorders>
              <w:bottom w:val="single"/>
            </w:tcBorders>
            <w:vAlign w:val="bottom"/>
          </w:tcPr>
          <w:p>
            <w:pPr>
              <w:numPr>
                <w:ilvl w:val="0"/>
                <w:numId w:val="1000"/>
              </w:numPr>
              <w:pStyle w:val="Compact"/>
              <w:jc w:val="left"/>
            </w:pPr>
            <w:r>
              <w:t xml:space="preserve">Standardized RMS</w:t>
            </w:r>
          </w:p>
        </w:tc>
      </w:tr>
      <w:tr>
        <w:tc>
          <w:p>
            <w:pPr>
              <w:numPr>
                <w:ilvl w:val="0"/>
                <w:numId w:val="1000"/>
              </w:numPr>
              <w:pStyle w:val="Compact"/>
              <w:jc w:val="left"/>
            </w:pPr>
            <w:r>
              <w:t xml:space="preserve">IDW</w:t>
            </w:r>
          </w:p>
        </w:tc>
        <w:tc>
          <w:p>
            <w:pPr>
              <w:numPr>
                <w:ilvl w:val="0"/>
                <w:numId w:val="1000"/>
              </w:numPr>
              <w:pStyle w:val="Compact"/>
              <w:jc w:val="left"/>
            </w:pPr>
            <w:r>
              <w:t xml:space="preserve">Power = 1</w:t>
            </w:r>
          </w:p>
        </w:tc>
        <w:tc>
          <w:p/>
        </w:tc>
        <w:tc>
          <w:p/>
        </w:tc>
      </w:tr>
      <w:tr>
        <w:tc>
          <w:p>
            <w:pPr>
              <w:numPr>
                <w:ilvl w:val="0"/>
                <w:numId w:val="1000"/>
              </w:numPr>
              <w:pStyle w:val="Compact"/>
              <w:jc w:val="left"/>
            </w:pPr>
            <w:r>
              <w:t xml:space="preserve">IDW</w:t>
            </w:r>
          </w:p>
        </w:tc>
        <w:tc>
          <w:p>
            <w:pPr>
              <w:numPr>
                <w:ilvl w:val="0"/>
                <w:numId w:val="1000"/>
              </w:numPr>
              <w:pStyle w:val="Compact"/>
              <w:jc w:val="left"/>
            </w:pPr>
            <w:r>
              <w:t xml:space="preserve">Power = 2</w:t>
            </w:r>
          </w:p>
        </w:tc>
        <w:tc>
          <w:p/>
        </w:tc>
        <w:tc>
          <w:p/>
        </w:tc>
      </w:tr>
      <w:tr>
        <w:tc>
          <w:p>
            <w:pPr>
              <w:numPr>
                <w:ilvl w:val="0"/>
                <w:numId w:val="1000"/>
              </w:numPr>
              <w:pStyle w:val="Compact"/>
              <w:jc w:val="left"/>
            </w:pPr>
            <w:r>
              <w:t xml:space="preserve">IDW</w:t>
            </w:r>
          </w:p>
        </w:tc>
        <w:tc>
          <w:p>
            <w:pPr>
              <w:numPr>
                <w:ilvl w:val="0"/>
                <w:numId w:val="1000"/>
              </w:numPr>
              <w:pStyle w:val="Compact"/>
              <w:jc w:val="left"/>
            </w:pPr>
            <w:r>
              <w:t xml:space="preserve">Power = 3</w:t>
            </w:r>
          </w:p>
        </w:tc>
        <w:tc>
          <w:p/>
        </w:tc>
        <w:tc>
          <w:p/>
        </w:tc>
      </w:tr>
      <w:tr>
        <w:tc>
          <w:p>
            <w:pPr>
              <w:numPr>
                <w:ilvl w:val="0"/>
                <w:numId w:val="1000"/>
              </w:numPr>
              <w:pStyle w:val="Compact"/>
              <w:jc w:val="left"/>
            </w:pPr>
            <w:r>
              <w:t xml:space="preserve">Ordinary Kriging</w:t>
            </w:r>
          </w:p>
        </w:tc>
        <w:tc>
          <w:p>
            <w:pPr>
              <w:numPr>
                <w:ilvl w:val="0"/>
                <w:numId w:val="1000"/>
              </w:numPr>
              <w:pStyle w:val="Compact"/>
              <w:jc w:val="left"/>
            </w:pPr>
            <w:r>
              <w:t xml:space="preserve">No transformation</w:t>
            </w:r>
          </w:p>
        </w:tc>
        <w:tc>
          <w:p/>
        </w:tc>
        <w:tc>
          <w:p/>
        </w:tc>
      </w:tr>
      <w:tr>
        <w:tc>
          <w:p>
            <w:pPr>
              <w:numPr>
                <w:ilvl w:val="0"/>
                <w:numId w:val="1000"/>
              </w:numPr>
              <w:pStyle w:val="Compact"/>
              <w:jc w:val="left"/>
            </w:pPr>
            <w:r>
              <w:t xml:space="preserve">Empirical Bayesian Kriging</w:t>
            </w:r>
          </w:p>
        </w:tc>
        <w:tc>
          <w:p>
            <w:pPr>
              <w:numPr>
                <w:ilvl w:val="0"/>
                <w:numId w:val="1000"/>
              </w:numPr>
              <w:pStyle w:val="Compact"/>
              <w:jc w:val="left"/>
            </w:pPr>
            <w:r>
              <w:t xml:space="preserve">Default</w:t>
            </w:r>
          </w:p>
        </w:tc>
        <w:tc>
          <w:p/>
        </w:tc>
        <w:tc>
          <w:p/>
        </w:tc>
      </w:tr>
    </w:tbl>
    <w:p>
      <w:pPr>
        <w:numPr>
          <w:ilvl w:val="0"/>
          <w:numId w:val="1000"/>
        </w:numPr>
      </w:pPr>
      <w:r>
        <w:t xml:space="preserve">Standardized RMS near 1.0 means uncertainty estimates are well-calibrated. Lower RMSE means lower prediction error.</w:t>
      </w:r>
    </w:p>
    <w:p>
      <w:pPr>
        <w:pStyle w:val="Heading3"/>
      </w:pPr>
      <w:bookmarkStart w:id="36" w:name="apply-consistent-symbology"/>
      <w:r>
        <w:t xml:space="preserve">Apply consistent symbology</w:t>
      </w:r>
      <w:bookmarkEnd w:id="36"/>
    </w:p>
    <w:p>
      <w:pPr>
        <w:numPr>
          <w:ilvl w:val="0"/>
          <w:numId w:val="1010"/>
        </w:numPr>
      </w:pPr>
      <w:r>
        <w:t xml:space="preserve">Symbolize all five clipped surfaces on the</w:t>
      </w:r>
      <w:r>
        <w:t xml:space="preserve"> </w:t>
      </w:r>
      <w:r>
        <w:rPr>
          <w:b/>
        </w:rPr>
        <w:t xml:space="preserve">same</w:t>
      </w:r>
      <w:r>
        <w:t xml:space="preserve"> </w:t>
      </w:r>
      <w:r>
        <w:t xml:space="preserve">color scale so comparisons are meaningful.</w:t>
      </w:r>
    </w:p>
    <w:p>
      <w:pPr>
        <w:numPr>
          <w:ilvl w:val="0"/>
          <w:numId w:val="1010"/>
        </w:numPr>
      </w:pPr>
      <w:r>
        <w:t xml:space="preserve">Right-click</w:t>
      </w:r>
      <w:r>
        <w:t xml:space="preserve"> </w:t>
      </w:r>
      <w:r>
        <w:rPr>
          <w:rStyle w:val="VerbatimChar"/>
        </w:rPr>
        <w:t xml:space="preserve">IDW_P1_clip</w:t>
      </w:r>
      <w:r>
        <w:t xml:space="preserve"> </w:t>
      </w:r>
      <w:r>
        <w:t xml:space="preserve">→</w:t>
      </w:r>
      <w:r>
        <w:t xml:space="preserve"> </w:t>
      </w:r>
      <w:r>
        <w:rPr>
          <w:b/>
        </w:rPr>
        <w:t xml:space="preserve">Symbology</w:t>
      </w:r>
      <w:r>
        <w:t xml:space="preserve">. Set: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Symbology type</w:t>
            </w:r>
          </w:p>
        </w:tc>
        <w:tc>
          <w:p>
            <w:pPr>
              <w:numPr>
                <w:ilvl w:val="0"/>
                <w:numId w:val="1000"/>
              </w:numPr>
              <w:pStyle w:val="Compact"/>
              <w:jc w:val="left"/>
            </w:pPr>
            <w:r>
              <w:t xml:space="preserve">Classify</w:t>
            </w:r>
          </w:p>
        </w:tc>
      </w:tr>
      <w:tr>
        <w:tc>
          <w:p>
            <w:pPr>
              <w:numPr>
                <w:ilvl w:val="0"/>
                <w:numId w:val="1000"/>
              </w:numPr>
              <w:pStyle w:val="Compact"/>
              <w:jc w:val="left"/>
            </w:pPr>
            <w:r>
              <w:t xml:space="preserve">Color scheme</w:t>
            </w:r>
          </w:p>
        </w:tc>
        <w:tc>
          <w:p>
            <w:pPr>
              <w:numPr>
                <w:ilvl w:val="0"/>
                <w:numId w:val="1000"/>
              </w:numPr>
              <w:pStyle w:val="Compact"/>
              <w:jc w:val="left"/>
            </w:pPr>
            <w:r>
              <w:t xml:space="preserve">A sequential single-hue ramp (yellow to dark orange/red)</w:t>
            </w:r>
          </w:p>
        </w:tc>
      </w:tr>
      <w:tr>
        <w:tc>
          <w:p>
            <w:pPr>
              <w:numPr>
                <w:ilvl w:val="0"/>
                <w:numId w:val="1000"/>
              </w:numPr>
              <w:pStyle w:val="Compact"/>
              <w:jc w:val="left"/>
            </w:pPr>
            <w:r>
              <w:t xml:space="preserve">Classes</w:t>
            </w:r>
          </w:p>
        </w:tc>
        <w:tc>
          <w:p>
            <w:pPr>
              <w:numPr>
                <w:ilvl w:val="0"/>
                <w:numId w:val="1000"/>
              </w:numPr>
              <w:pStyle w:val="Compact"/>
              <w:jc w:val="left"/>
            </w:pPr>
            <w:r>
              <w:t xml:space="preserve">5</w:t>
            </w:r>
          </w:p>
        </w:tc>
      </w:tr>
      <w:tr>
        <w:tc>
          <w:p>
            <w:pPr>
              <w:numPr>
                <w:ilvl w:val="0"/>
                <w:numId w:val="1000"/>
              </w:numPr>
              <w:pStyle w:val="Compact"/>
              <w:jc w:val="left"/>
            </w:pPr>
            <w:r>
              <w:t xml:space="preserve">Method</w:t>
            </w:r>
          </w:p>
        </w:tc>
        <w:tc>
          <w:p>
            <w:pPr>
              <w:numPr>
                <w:ilvl w:val="0"/>
                <w:numId w:val="1000"/>
              </w:numPr>
              <w:pStyle w:val="Compact"/>
              <w:jc w:val="left"/>
            </w:pPr>
            <w:r>
              <w:t xml:space="preserve">Natural Breaks (Jenks)</w:t>
            </w:r>
          </w:p>
        </w:tc>
      </w:tr>
    </w:tbl>
    <w:p>
      <w:pPr>
        <w:numPr>
          <w:ilvl w:val="0"/>
          <w:numId w:val="1010"/>
        </w:numPr>
      </w:pPr>
      <w:r>
        <w:t xml:space="preserve">Note the class breaks generated for</w:t>
      </w:r>
      <w:r>
        <w:t xml:space="preserve"> </w:t>
      </w:r>
      <w:r>
        <w:rPr>
          <w:rStyle w:val="VerbatimChar"/>
        </w:rPr>
        <w:t xml:space="preserve">IDW_P1_clip</w:t>
      </w:r>
      <w:r>
        <w:t xml:space="preserve">. Apply the</w:t>
      </w:r>
      <w:r>
        <w:t xml:space="preserve"> </w:t>
      </w:r>
      <w:r>
        <w:rPr>
          <w:b/>
        </w:rPr>
        <w:t xml:space="preserve">same class breaks</w:t>
      </w:r>
      <w:r>
        <w:t xml:space="preserve"> </w:t>
      </w:r>
      <w:r>
        <w:t xml:space="preserve">to all other clipped surfaces so that colors represent identical PM2.5 ranges across all maps.</w:t>
      </w:r>
    </w:p>
    <w:p>
      <w:pPr>
        <w:numPr>
          <w:ilvl w:val="0"/>
          <w:numId w:val="1000"/>
        </w:numPr>
      </w:pPr>
      <w:r>
        <w:rPr>
          <w:i/>
        </w:rPr>
        <w:t xml:space="preserve">[Figure: Symbology pane for IDW_P1_clip showing class breaks and color ramp]</w:t>
      </w:r>
    </w:p>
    <w:p>
      <w:pPr>
        <w:numPr>
          <w:ilvl w:val="0"/>
          <w:numId w:val="1010"/>
        </w:numPr>
      </w:pPr>
      <w:r>
        <w:t xml:space="preserve">To copy symbology: right-click</w:t>
      </w:r>
      <w:r>
        <w:t xml:space="preserve"> </w:t>
      </w:r>
      <w:r>
        <w:rPr>
          <w:rStyle w:val="VerbatimChar"/>
        </w:rPr>
        <w:t xml:space="preserve">IDW_P1_clip</w:t>
      </w:r>
      <w:r>
        <w:t xml:space="preserve"> </w:t>
      </w:r>
      <w:r>
        <w:t xml:space="preserve">→</w:t>
      </w:r>
      <w:r>
        <w:t xml:space="preserve"> </w:t>
      </w:r>
      <w:r>
        <w:rPr>
          <w:b/>
        </w:rPr>
        <w:t xml:space="preserve">Copy</w:t>
      </w:r>
      <w:r>
        <w:t xml:space="preserve">. Then right-click each other clipped layer →</w:t>
      </w:r>
      <w:r>
        <w:t xml:space="preserve"> </w:t>
      </w:r>
      <w:r>
        <w:rPr>
          <w:b/>
        </w:rPr>
        <w:t xml:space="preserve">Paste Symbology</w:t>
      </w:r>
      <w:r>
        <w:t xml:space="preserve">.</w:t>
      </w:r>
    </w:p>
    <w:p>
      <w:pPr>
        <w:pStyle w:val="Heading3"/>
      </w:pPr>
      <w:bookmarkStart w:id="37" w:name="create-a-layout-for-visual-comparison"/>
      <w:r>
        <w:t xml:space="preserve">Create a layout for visual comparison</w:t>
      </w:r>
      <w:bookmarkEnd w:id="37"/>
    </w:p>
    <w:p>
      <w:pPr>
        <w:numPr>
          <w:ilvl w:val="0"/>
          <w:numId w:val="1011"/>
        </w:numPr>
      </w:pPr>
      <w:r>
        <w:t xml:space="preserve">On the</w:t>
      </w:r>
      <w:r>
        <w:t xml:space="preserve"> </w:t>
      </w:r>
      <w:r>
        <w:rPr>
          <w:b/>
        </w:rPr>
        <w:t xml:space="preserve">Insert</w:t>
      </w:r>
      <w:r>
        <w:t xml:space="preserve"> </w:t>
      </w:r>
      <w:r>
        <w:t xml:space="preserve">tab, click</w:t>
      </w:r>
      <w:r>
        <w:t xml:space="preserve"> </w:t>
      </w:r>
      <w:r>
        <w:rPr>
          <w:b/>
        </w:rPr>
        <w:t xml:space="preserve">New Layout</w:t>
      </w:r>
      <w:r>
        <w:t xml:space="preserve"> </w:t>
      </w:r>
      <w:r>
        <w:t xml:space="preserve">and choose</w:t>
      </w:r>
      <w:r>
        <w:t xml:space="preserve"> </w:t>
      </w:r>
      <w:r>
        <w:rPr>
          <w:b/>
        </w:rPr>
        <w:t xml:space="preserve">Letter Landscape (11 x 8.5 in)</w:t>
      </w:r>
      <w:r>
        <w:t xml:space="preserve">.</w:t>
      </w:r>
    </w:p>
    <w:p>
      <w:pPr>
        <w:numPr>
          <w:ilvl w:val="0"/>
          <w:numId w:val="1011"/>
        </w:numPr>
      </w:pPr>
      <w:r>
        <w:t xml:space="preserve">Insert five map frames (one per surface) in a 2×3 grid pattern, leaving the sixth cell for a shared legend and title. Use the</w:t>
      </w:r>
      <w:r>
        <w:t xml:space="preserve"> </w:t>
      </w:r>
      <w:r>
        <w:rPr>
          <w:b/>
        </w:rPr>
        <w:t xml:space="preserve">Insert</w:t>
      </w:r>
      <w:r>
        <w:t xml:space="preserve"> </w:t>
      </w:r>
      <w:r>
        <w:t xml:space="preserve">tab →</w:t>
      </w:r>
      <w:r>
        <w:t xml:space="preserve"> </w:t>
      </w:r>
      <w:r>
        <w:rPr>
          <w:b/>
        </w:rPr>
        <w:t xml:space="preserve">Map Frame</w:t>
      </w:r>
      <w:r>
        <w:t xml:space="preserve"> </w:t>
      </w:r>
      <w:r>
        <w:t xml:space="preserve">for each. Set each frame to a 1:150,000 scale using the</w:t>
      </w:r>
      <w:r>
        <w:t xml:space="preserve"> </w:t>
      </w:r>
      <w:r>
        <w:rPr>
          <w:b/>
        </w:rPr>
        <w:t xml:space="preserve">Map Frame Properties</w:t>
      </w:r>
      <w:r>
        <w:t xml:space="preserve"> </w:t>
      </w:r>
      <w:r>
        <w:t xml:space="preserve">(right-click each frame →</w:t>
      </w:r>
      <w:r>
        <w:t xml:space="preserve"> </w:t>
      </w:r>
      <w:r>
        <w:rPr>
          <w:b/>
        </w:rPr>
        <w:t xml:space="preserve">Properties</w:t>
      </w:r>
      <w:r>
        <w:t xml:space="preserve">).</w:t>
      </w:r>
    </w:p>
    <w:p>
      <w:pPr>
        <w:numPr>
          <w:ilvl w:val="0"/>
          <w:numId w:val="1011"/>
        </w:numPr>
      </w:pPr>
      <w:r>
        <w:t xml:space="preserve">Add a</w:t>
      </w:r>
      <w:r>
        <w:t xml:space="preserve"> </w:t>
      </w:r>
      <w:r>
        <w:rPr>
          <w:b/>
        </w:rPr>
        <w:t xml:space="preserve">Legend</w:t>
      </w:r>
      <w:r>
        <w:t xml:space="preserve"> </w:t>
      </w:r>
      <w:r>
        <w:t xml:space="preserve">(shared for all frames; use the Insert tab), a</w:t>
      </w:r>
      <w:r>
        <w:t xml:space="preserve"> </w:t>
      </w:r>
      <w:r>
        <w:rPr>
          <w:b/>
        </w:rPr>
        <w:t xml:space="preserve">Title</w:t>
      </w:r>
      <w:r>
        <w:t xml:space="preserve"> </w:t>
      </w:r>
      <w:r>
        <w:t xml:space="preserve">(</w:t>
      </w:r>
      <w:r>
        <w:rPr>
          <w:rStyle w:val="VerbatimChar"/>
        </w:rPr>
        <w:t xml:space="preserve">Lab 5a: PM2.5 Interpolation Comparison — Philadelphia</w:t>
      </w:r>
      <w:r>
        <w:t xml:space="preserve">), your name, and the date.</w:t>
      </w:r>
    </w:p>
    <w:p>
      <w:pPr>
        <w:numPr>
          <w:ilvl w:val="0"/>
          <w:numId w:val="1011"/>
        </w:numPr>
      </w:pPr>
      <w:r>
        <w:t xml:space="preserve">Export the layout as a PDF:</w:t>
      </w:r>
      <w:r>
        <w:t xml:space="preserve"> </w:t>
      </w:r>
      <w:r>
        <w:rPr>
          <w:b/>
        </w:rPr>
        <w:t xml:space="preserve">Share</w:t>
      </w:r>
      <w:r>
        <w:t xml:space="preserve"> </w:t>
      </w:r>
      <w:r>
        <w:t xml:space="preserve">tab →</w:t>
      </w:r>
      <w:r>
        <w:t xml:space="preserve"> </w:t>
      </w:r>
      <w:r>
        <w:rPr>
          <w:b/>
        </w:rPr>
        <w:t xml:space="preserve">Export Layout</w:t>
      </w:r>
      <w:r>
        <w:t xml:space="preserve">. Name it</w:t>
      </w:r>
      <w:r>
        <w:t xml:space="preserve"> </w:t>
      </w:r>
      <w:r>
        <w:rPr>
          <w:rStyle w:val="VerbatimChar"/>
        </w:rPr>
        <w:t xml:space="preserve">Lab05a_Comparison.pdf</w:t>
      </w:r>
      <w:r>
        <w:t xml:space="preserve">.</w:t>
      </w:r>
    </w:p>
    <w:p>
      <w:r>
        <w:pict>
          <v:rect style="width:0;height:1.5pt" o:hralign="center" o:hrstd="t" o:hr="t"/>
        </w:pict>
      </w:r>
    </w:p>
    <w:p>
      <w:pPr>
        <w:pStyle w:val="Heading2"/>
      </w:pPr>
      <w:bookmarkStart w:id="38" w:name="X1ab266666a07fc5491a66408cc57a818b780037"/>
      <w:r>
        <w:t xml:space="preserve">Part 5: Identifying Areas of High Uncertainty</w:t>
      </w:r>
      <w:bookmarkEnd w:id="38"/>
    </w:p>
    <w:p>
      <w:pPr>
        <w:numPr>
          <w:ilvl w:val="0"/>
          <w:numId w:val="1012"/>
        </w:numPr>
      </w:pPr>
      <w:r>
        <w:t xml:space="preserve">Areas far from any monitor have the least reliable predictions. Use proximity analysis to visualize this.</w:t>
      </w:r>
    </w:p>
    <w:p>
      <w:pPr>
        <w:numPr>
          <w:ilvl w:val="0"/>
          <w:numId w:val="1012"/>
        </w:numPr>
      </w:pPr>
      <w:r>
        <w:t xml:space="preserve">Open the</w:t>
      </w:r>
      <w:r>
        <w:t xml:space="preserve"> </w:t>
      </w:r>
      <w:r>
        <w:rPr>
          <w:b/>
        </w:rPr>
        <w:t xml:space="preserve">Euclidean Distance</w:t>
      </w:r>
      <w:r>
        <w:t xml:space="preserve"> </w:t>
      </w:r>
      <w:r>
        <w:t xml:space="preserve">tool (</w:t>
      </w:r>
      <w:r>
        <w:rPr>
          <w:b/>
        </w:rPr>
        <w:t xml:space="preserve">Spatial Analyst Tools</w:t>
      </w:r>
      <w:r>
        <w:t xml:space="preserve"> </w:t>
      </w:r>
      <w:r>
        <w:t xml:space="preserve">→</w:t>
      </w:r>
      <w:r>
        <w:t xml:space="preserve"> </w:t>
      </w:r>
      <w:r>
        <w:rPr>
          <w:b/>
        </w:rPr>
        <w:t xml:space="preserve">Distance</w:t>
      </w:r>
      <w:r>
        <w:t xml:space="preserve"> </w:t>
      </w:r>
      <w:r>
        <w:t xml:space="preserve">→</w:t>
      </w:r>
      <w:r>
        <w:t xml:space="preserve"> </w:t>
      </w:r>
      <w:r>
        <w:rPr>
          <w:b/>
        </w:rPr>
        <w:t xml:space="preserve">Euclidean Distance</w:t>
      </w:r>
      <w:r>
        <w:t xml:space="preserv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raster or feature source data</w:t>
            </w:r>
          </w:p>
        </w:tc>
        <w:tc>
          <w:p>
            <w:pPr>
              <w:numPr>
                <w:ilvl w:val="0"/>
                <w:numId w:val="1000"/>
              </w:numPr>
              <w:pStyle w:val="Compact"/>
              <w:jc w:val="left"/>
            </w:pPr>
            <w:r>
              <w:rPr>
                <w:rStyle w:val="VerbatimChar"/>
              </w:rPr>
              <w:t xml:space="preserve">phl_air_monitors</w:t>
            </w:r>
          </w:p>
        </w:tc>
      </w:tr>
      <w:tr>
        <w:tc>
          <w:p>
            <w:pPr>
              <w:numPr>
                <w:ilvl w:val="0"/>
                <w:numId w:val="1000"/>
              </w:numPr>
              <w:pStyle w:val="Compact"/>
              <w:jc w:val="left"/>
            </w:pPr>
            <w:r>
              <w:t xml:space="preserve">Output distance raster</w:t>
            </w:r>
          </w:p>
        </w:tc>
        <w:tc>
          <w:p>
            <w:pPr>
              <w:numPr>
                <w:ilvl w:val="0"/>
                <w:numId w:val="1000"/>
              </w:numPr>
              <w:pStyle w:val="Compact"/>
              <w:jc w:val="left"/>
            </w:pPr>
            <w:r>
              <w:rPr>
                <w:rStyle w:val="VerbatimChar"/>
              </w:rPr>
              <w:t xml:space="preserve">dist_to_monitor</w:t>
            </w:r>
            <w:r>
              <w:t xml:space="preserve"> </w:t>
            </w:r>
            <w:r>
              <w:t xml:space="preserve">(save to geodatabase)</w:t>
            </w:r>
          </w:p>
        </w:tc>
      </w:tr>
      <w:tr>
        <w:tc>
          <w:p>
            <w:pPr>
              <w:numPr>
                <w:ilvl w:val="0"/>
                <w:numId w:val="1000"/>
              </w:numPr>
              <w:pStyle w:val="Compact"/>
              <w:jc w:val="left"/>
            </w:pPr>
            <w:r>
              <w:t xml:space="preserve">Output cell size</w:t>
            </w:r>
          </w:p>
        </w:tc>
        <w:tc>
          <w:p>
            <w:pPr>
              <w:numPr>
                <w:ilvl w:val="0"/>
                <w:numId w:val="1000"/>
              </w:numPr>
              <w:pStyle w:val="Compact"/>
              <w:jc w:val="left"/>
            </w:pPr>
            <w:r>
              <w:t xml:space="preserve">(leave as default or match your IDW output)</w:t>
            </w:r>
          </w:p>
        </w:tc>
      </w:tr>
    </w:tbl>
    <w:p>
      <w:pPr>
        <w:numPr>
          <w:ilvl w:val="0"/>
          <w:numId w:val="1012"/>
        </w:numPr>
      </w:pPr>
      <w:r>
        <w:t xml:space="preserve">Clip the distance raster to</w:t>
      </w:r>
      <w:r>
        <w:t xml:space="preserve"> </w:t>
      </w:r>
      <w:r>
        <w:rPr>
          <w:rStyle w:val="VerbatimChar"/>
        </w:rPr>
        <w:t xml:space="preserve">phl_boundary</w:t>
      </w:r>
      <w:r>
        <w:t xml:space="preserve"> </w:t>
      </w:r>
      <w:r>
        <w:t xml:space="preserve">using</w:t>
      </w:r>
      <w:r>
        <w:t xml:space="preserve"> </w:t>
      </w:r>
      <w:r>
        <w:rPr>
          <w:b/>
        </w:rPr>
        <w:t xml:space="preserve">Extract by Mask</w:t>
      </w:r>
      <w:r>
        <w:t xml:space="preserve">. Save as</w:t>
      </w:r>
      <w:r>
        <w:t xml:space="preserve"> </w:t>
      </w:r>
      <w:r>
        <w:rPr>
          <w:rStyle w:val="VerbatimChar"/>
        </w:rPr>
        <w:t xml:space="preserve">dist_to_monitor_clip</w:t>
      </w:r>
      <w:r>
        <w:t xml:space="preserve">.</w:t>
      </w:r>
    </w:p>
    <w:p>
      <w:pPr>
        <w:numPr>
          <w:ilvl w:val="0"/>
          <w:numId w:val="1012"/>
        </w:numPr>
      </w:pPr>
      <w:r>
        <w:t xml:space="preserve">Symbolize</w:t>
      </w:r>
      <w:r>
        <w:t xml:space="preserve"> </w:t>
      </w:r>
      <w:r>
        <w:rPr>
          <w:rStyle w:val="VerbatimChar"/>
        </w:rPr>
        <w:t xml:space="preserve">dist_to_monitor_clip</w:t>
      </w:r>
      <w:r>
        <w:t xml:space="preserve"> </w:t>
      </w:r>
      <w:r>
        <w:t xml:space="preserve">with a diverging ramp: light for areas close to monitors, dark for areas far from monitors.</w:t>
      </w:r>
    </w:p>
    <w:p>
      <w:pPr>
        <w:numPr>
          <w:ilvl w:val="0"/>
          <w:numId w:val="1012"/>
        </w:numPr>
      </w:pPr>
      <w:r>
        <w:t xml:space="preserve">Add</w:t>
      </w:r>
      <w:r>
        <w:t xml:space="preserve"> </w:t>
      </w:r>
      <w:r>
        <w:rPr>
          <w:rStyle w:val="VerbatimChar"/>
        </w:rPr>
        <w:t xml:space="preserve">dist_to_monitor_clip</w:t>
      </w:r>
      <w:r>
        <w:t xml:space="preserve"> </w:t>
      </w:r>
      <w:r>
        <w:t xml:space="preserve">to your layout as a sixth panel and label it</w:t>
      </w:r>
      <w:r>
        <w:t xml:space="preserve"> </w:t>
      </w:r>
      <w:r>
        <w:t xml:space="preserve">“</w:t>
      </w:r>
      <w:r>
        <w:t xml:space="preserve">Distance to Nearest Monitor (Uncertainty Proxy).</w:t>
      </w:r>
      <w:r>
        <w:t xml:space="preserve">”</w:t>
      </w:r>
    </w:p>
    <w:p>
      <w:pPr>
        <w:numPr>
          <w:ilvl w:val="0"/>
          <w:numId w:val="1000"/>
        </w:numPr>
        <w:pStyle w:val="BlockText"/>
      </w:pPr>
      <w:r>
        <w:rPr>
          <w:b/>
        </w:rPr>
        <w:t xml:space="preserve">Warning:</w:t>
      </w:r>
      <w:r>
        <w:t xml:space="preserve"> </w:t>
      </w:r>
      <w:r>
        <w:t xml:space="preserve">A smooth interpolated surface gives no visual cue about reliability. The distance-to-monitor map is the key to interpreting where your PM2.5 estimates should be trusted. A neighborhood that appears to have a specific PM2.5 value on the interpolated map may have no monitor within several kilometers — that value is a model output, not a measurement.</w:t>
      </w:r>
    </w:p>
    <w:p>
      <w:pPr>
        <w:numPr>
          <w:ilvl w:val="0"/>
          <w:numId w:val="1000"/>
        </w:numPr>
        <w:pStyle w:val="BlockText"/>
      </w:pPr>
      <w:r>
        <w:rPr>
          <w:b/>
        </w:rPr>
        <w:t xml:space="preserve">Public health note:</w:t>
      </w:r>
      <w:r>
        <w:t xml:space="preserve"> </w:t>
      </w:r>
      <w:r>
        <w:t xml:space="preserve">A modeled exposure surface is not a measured exposure. It should not be used to make regulatory decisions, trigger health alerts, or characterize individual-level exposures at fine spatial scales. Its appropriate uses include exploratory hypothesis generation, identifying monitor gaps, and contextualizing community-level health data — always with explicit acknowledgment of uncertainty.</w:t>
      </w:r>
    </w:p>
    <w:p>
      <w:r>
        <w:pict>
          <v:rect style="width:0;height:1.5pt" o:hralign="center" o:hrstd="t" o:hr="t"/>
        </w:pict>
      </w:r>
    </w:p>
    <w:p>
      <w:pPr>
        <w:pStyle w:val="Heading2"/>
      </w:pPr>
      <w:bookmarkStart w:id="39" w:name="deliverables"/>
      <w:r>
        <w:t xml:space="preserve">Deliverables</w:t>
      </w:r>
      <w:bookmarkEnd w:id="39"/>
    </w:p>
    <w:p>
      <w:pPr>
        <w:pStyle w:val="FirstParagraph"/>
      </w:pPr>
      <w:r>
        <w:t xml:space="preserve">Submit the following in a single PDF or zipped folder:</w:t>
      </w:r>
    </w:p>
    <w:p>
      <w:pPr>
        <w:numPr>
          <w:ilvl w:val="0"/>
          <w:numId w:val="1013"/>
        </w:numPr>
      </w:pPr>
      <w:r>
        <w:rPr>
          <w:b/>
        </w:rPr>
        <w:t xml:space="preserve">Layout PDF</w:t>
      </w:r>
      <w:r>
        <w:t xml:space="preserve"> </w:t>
      </w:r>
      <w:r>
        <w:t xml:space="preserve">(</w:t>
      </w:r>
      <w:r>
        <w:rPr>
          <w:rStyle w:val="VerbatimChar"/>
        </w:rPr>
        <w:t xml:space="preserve">Lab05a_Comparison.pdf</w:t>
      </w:r>
      <w:r>
        <w:t xml:space="preserve">) — the five interpolated surfaces plus the distance-to-monitor panel, with legend, title, and your name.</w:t>
      </w:r>
    </w:p>
    <w:p>
      <w:pPr>
        <w:numPr>
          <w:ilvl w:val="0"/>
          <w:numId w:val="1013"/>
        </w:numPr>
      </w:pPr>
      <w:r>
        <w:rPr>
          <w:b/>
        </w:rPr>
        <w:t xml:space="preserve">Cross-validation table</w:t>
      </w:r>
      <w:r>
        <w:t xml:space="preserve"> </w:t>
      </w:r>
      <w:r>
        <w:t xml:space="preserve">— the completed five-row table from step 26, either embedded in the PDF or in a separate document.</w:t>
      </w:r>
    </w:p>
    <w:p>
      <w:pPr>
        <w:numPr>
          <w:ilvl w:val="0"/>
          <w:numId w:val="1013"/>
        </w:numPr>
      </w:pPr>
      <w:r>
        <w:rPr>
          <w:b/>
        </w:rPr>
        <w:t xml:space="preserve">150-word written interpretation</w:t>
      </w:r>
      <w:r>
        <w:t xml:space="preserve"> </w:t>
      </w:r>
      <w:r>
        <w:t xml:space="preserve">— address these questions: Which method produced the lowest RMSE? Did a higher IDW power produce a more or less realistic surface with these sparse data? Where in Philadelphia are predictions least reliable, and why does that matter for a health equity analysis? Label this section clearly with your name.</w:t>
      </w:r>
    </w:p>
    <w:p>
      <w:r>
        <w:pict>
          <v:rect style="width:0;height:1.5pt" o:hralign="center" o:hrstd="t" o:hr="t"/>
        </w:pict>
      </w:r>
    </w:p>
    <w:p>
      <w:pPr>
        <w:pStyle w:val="Heading2"/>
      </w:pPr>
      <w:bookmarkStart w:id="40" w:name="using-ai-in-this-lab"/>
      <w:r>
        <w:t xml:space="preserve">Using AI in this lab</w:t>
      </w:r>
      <w:bookmarkEnd w:id="40"/>
    </w:p>
    <w:p>
      <w:pPr>
        <w:pStyle w:val="FirstParagraph"/>
      </w:pPr>
      <w:r>
        <w:rPr>
          <w:b/>
        </w:rPr>
        <w:t xml:space="preserve">Bounded AI task — explain the trade-off:</w:t>
      </w:r>
      <w:r>
        <w:t xml:space="preserve"> </w:t>
      </w:r>
      <w:r>
        <w:t xml:space="preserve">Ask an AI assistant (e.g., Claude) to explain, in plain language for a non-technical audience, the core difference between IDW and kriging. Specifically, ask:</w:t>
      </w:r>
      <w:r>
        <w:t xml:space="preserve"> </w:t>
      </w:r>
      <w:r>
        <w:rPr>
          <w:i/>
        </w:rPr>
        <w:t xml:space="preserve">“</w:t>
      </w:r>
      <w:r>
        <w:rPr>
          <w:i/>
        </w:rPr>
        <w:t xml:space="preserve">What is the main practical difference between Inverse Distance Weighting and kriging for estimating air pollution concentrations, and what are the trade-offs for a public health analyst working with sparse monitor data?</w:t>
      </w:r>
      <w:r>
        <w:rPr>
          <w:i/>
        </w:rPr>
        <w:t xml:space="preserve">”</w:t>
      </w:r>
    </w:p>
    <w:p>
      <w:pPr>
        <w:pStyle w:val="BodyText"/>
      </w:pPr>
      <w:r>
        <w:t xml:space="preserve">Compare the AI’s explanation to the account in your textbook (Bolstad &amp; Manson, Ch. 12). In your write-up, note one point where the AI explanation was clear and useful, and one point where the textbook provided detail or nuance the AI missed or oversimplified.</w:t>
      </w:r>
    </w:p>
    <w:p>
      <w:pPr>
        <w:pStyle w:val="BodyText"/>
      </w:pPr>
      <w:r>
        <w:rPr>
          <w:b/>
        </w:rPr>
        <w:t xml:space="preserve">Guardrails — read before using AI:</w:t>
      </w:r>
    </w:p>
    <w:p>
      <w:pPr>
        <w:numPr>
          <w:ilvl w:val="0"/>
          <w:numId w:val="1014"/>
        </w:numPr>
        <w:pStyle w:val="Compact"/>
      </w:pPr>
      <w:r>
        <w:t xml:space="preserve">AI is appropriate for</w:t>
      </w:r>
      <w:r>
        <w:t xml:space="preserve"> </w:t>
      </w:r>
      <w:r>
        <w:rPr>
          <w:b/>
        </w:rPr>
        <w:t xml:space="preserve">scaffolding</w:t>
      </w:r>
      <w:r>
        <w:t xml:space="preserve"> </w:t>
      </w:r>
      <w:r>
        <w:t xml:space="preserve">(drafting an explanation of a concept),</w:t>
      </w:r>
      <w:r>
        <w:t xml:space="preserve"> </w:t>
      </w:r>
      <w:r>
        <w:rPr>
          <w:b/>
        </w:rPr>
        <w:t xml:space="preserve">explaining</w:t>
      </w:r>
      <w:r>
        <w:t xml:space="preserve"> </w:t>
      </w:r>
      <w:r>
        <w:t xml:space="preserve">(what an error message means, what RMSE represents), and</w:t>
      </w:r>
      <w:r>
        <w:t xml:space="preserve"> </w:t>
      </w:r>
      <w:r>
        <w:rPr>
          <w:b/>
        </w:rPr>
        <w:t xml:space="preserve">critiquing</w:t>
      </w:r>
      <w:r>
        <w:t xml:space="preserve"> </w:t>
      </w:r>
      <w:r>
        <w:t xml:space="preserve">(reviewing your written interpretation for clarity).</w:t>
      </w:r>
    </w:p>
    <w:p>
      <w:pPr>
        <w:numPr>
          <w:ilvl w:val="0"/>
          <w:numId w:val="1014"/>
        </w:numPr>
        <w:pStyle w:val="Compact"/>
      </w:pPr>
      <w:r>
        <w:t xml:space="preserve">AI does</w:t>
      </w:r>
      <w:r>
        <w:t xml:space="preserve"> </w:t>
      </w:r>
      <w:r>
        <w:rPr>
          <w:b/>
        </w:rPr>
        <w:t xml:space="preserve">not</w:t>
      </w:r>
      <w:r>
        <w:t xml:space="preserve"> </w:t>
      </w:r>
      <w:r>
        <w:t xml:space="preserve">choose which interpolation method is appropriate for your data, determine whether a PM2.5 surface is accurate, or interpret spatial patterns in health outcomes.</w:t>
      </w:r>
    </w:p>
    <w:p>
      <w:pPr>
        <w:numPr>
          <w:ilvl w:val="0"/>
          <w:numId w:val="1014"/>
        </w:numPr>
        <w:pStyle w:val="Compact"/>
      </w:pPr>
      <w:r>
        <w:rPr>
          <w:b/>
        </w:rPr>
        <w:t xml:space="preserve">Never paste identifiable data</w:t>
      </w:r>
      <w:r>
        <w:t xml:space="preserve"> </w:t>
      </w:r>
      <w:r>
        <w:t xml:space="preserve">— addresses, names, or any patient-level information — into a public AI tool.</w:t>
      </w:r>
    </w:p>
    <w:p>
      <w:pPr>
        <w:numPr>
          <w:ilvl w:val="0"/>
          <w:numId w:val="1014"/>
        </w:numPr>
        <w:pStyle w:val="Compact"/>
      </w:pPr>
      <w:r>
        <w:rPr>
          <w:b/>
        </w:rPr>
        <w:t xml:space="preserve">Label all AI-assisted output</w:t>
      </w:r>
      <w:r>
        <w:t xml:space="preserve"> </w:t>
      </w:r>
      <w:r>
        <w:t xml:space="preserve">in your deliverables. For example:</w:t>
      </w:r>
      <w:r>
        <w:t xml:space="preserve"> </w:t>
      </w:r>
      <w:r>
        <w:t xml:space="preserve">“</w:t>
      </w:r>
      <w:r>
        <w:t xml:space="preserve">This explanation was drafted with AI assistance and revised by the student.</w:t>
      </w:r>
      <w:r>
        <w:t xml:space="preserve">”</w:t>
      </w:r>
    </w:p>
    <w:p>
      <w:r>
        <w:pict>
          <v:rect style="width:0;height:1.5pt" o:hralign="center" o:hrstd="t" o:hr="t"/>
        </w:pict>
      </w:r>
    </w:p>
    <w:p>
      <w:pPr>
        <w:pStyle w:val="Heading2"/>
      </w:pPr>
      <w:bookmarkStart w:id="41" w:name="qgis-equivalent"/>
      <w:r>
        <w:t xml:space="preserve">QGIS equivalent</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operation</w:t>
            </w:r>
          </w:p>
        </w:tc>
        <w:tc>
          <w:tcPr>
            <w:tcBorders>
              <w:bottom w:val="single"/>
            </w:tcBorders>
            <w:vAlign w:val="bottom"/>
          </w:tcPr>
          <w:p>
            <w:pPr>
              <w:pStyle w:val="Compact"/>
              <w:jc w:val="left"/>
            </w:pPr>
            <w:r>
              <w:t xml:space="preserve">QGIS equivalent</w:t>
            </w:r>
          </w:p>
        </w:tc>
      </w:tr>
      <w:tr>
        <w:tc>
          <w:p>
            <w:pPr>
              <w:pStyle w:val="Compact"/>
              <w:jc w:val="left"/>
            </w:pPr>
            <w:r>
              <w:t xml:space="preserve">Geostatistical Wizard → IDW</w:t>
            </w:r>
          </w:p>
        </w:tc>
        <w:tc>
          <w:p>
            <w:pPr>
              <w:pStyle w:val="Compact"/>
              <w:jc w:val="left"/>
            </w:pPr>
            <w:r>
              <w:rPr>
                <w:b/>
              </w:rPr>
              <w:t xml:space="preserve">Processing Toolbox</w:t>
            </w:r>
            <w:r>
              <w:t xml:space="preserve"> </w:t>
            </w:r>
            <w:r>
              <w:t xml:space="preserve">→</w:t>
            </w:r>
            <w:r>
              <w:t xml:space="preserve"> </w:t>
            </w:r>
            <w:r>
              <w:rPr>
                <w:b/>
              </w:rPr>
              <w:t xml:space="preserve">Interpolation</w:t>
            </w:r>
            <w:r>
              <w:t xml:space="preserve"> </w:t>
            </w:r>
            <w:r>
              <w:t xml:space="preserve">→</w:t>
            </w:r>
            <w:r>
              <w:t xml:space="preserve"> </w:t>
            </w:r>
            <w:r>
              <w:rPr>
                <w:b/>
              </w:rPr>
              <w:t xml:space="preserve">IDW Interpolation</w:t>
            </w:r>
          </w:p>
        </w:tc>
      </w:tr>
      <w:tr>
        <w:tc>
          <w:p>
            <w:pPr>
              <w:pStyle w:val="Compact"/>
              <w:jc w:val="left"/>
            </w:pPr>
            <w:r>
              <w:t xml:space="preserve">Geostatistical Wizard → Kriging</w:t>
            </w:r>
          </w:p>
        </w:tc>
        <w:tc>
          <w:p>
            <w:pPr>
              <w:pStyle w:val="Compact"/>
              <w:jc w:val="left"/>
            </w:pPr>
            <w:r>
              <w:t xml:space="preserve">QGIS does not include kriging natively; use the</w:t>
            </w:r>
            <w:r>
              <w:t xml:space="preserve"> </w:t>
            </w:r>
            <w:r>
              <w:rPr>
                <w:b/>
              </w:rPr>
              <w:t xml:space="preserve">SAGA</w:t>
            </w:r>
            <w:r>
              <w:t xml:space="preserve"> </w:t>
            </w:r>
            <w:r>
              <w:t xml:space="preserve">provider in the Processing Toolbox:</w:t>
            </w:r>
            <w:r>
              <w:t xml:space="preserve"> </w:t>
            </w:r>
            <w:r>
              <w:rPr>
                <w:b/>
              </w:rPr>
              <w:t xml:space="preserve">SAGA</w:t>
            </w:r>
            <w:r>
              <w:t xml:space="preserve"> </w:t>
            </w:r>
            <w:r>
              <w:t xml:space="preserve">→</w:t>
            </w:r>
            <w:r>
              <w:t xml:space="preserve"> </w:t>
            </w:r>
            <w:r>
              <w:rPr>
                <w:b/>
              </w:rPr>
              <w:t xml:space="preserve">Spatial and Geostatistics</w:t>
            </w:r>
            <w:r>
              <w:t xml:space="preserve"> </w:t>
            </w:r>
            <w:r>
              <w:t xml:space="preserve">→</w:t>
            </w:r>
            <w:r>
              <w:t xml:space="preserve"> </w:t>
            </w:r>
            <w:r>
              <w:rPr>
                <w:b/>
              </w:rPr>
              <w:t xml:space="preserve">Ordinary Kriging</w:t>
            </w:r>
          </w:p>
        </w:tc>
      </w:tr>
      <w:tr>
        <w:tc>
          <w:p>
            <w:pPr>
              <w:pStyle w:val="Compact"/>
              <w:jc w:val="left"/>
            </w:pPr>
            <w:r>
              <w:t xml:space="preserve">Geostatistical Wizard cross-validation</w:t>
            </w:r>
          </w:p>
        </w:tc>
        <w:tc>
          <w:p>
            <w:pPr>
              <w:pStyle w:val="Compact"/>
              <w:jc w:val="left"/>
            </w:pPr>
            <w:r>
              <w:t xml:space="preserve">Not available in QGIS native tools; compute manually or use R (</w:t>
            </w:r>
            <w:r>
              <w:rPr>
                <w:rStyle w:val="VerbatimChar"/>
              </w:rPr>
              <w:t xml:space="preserve">gstat</w:t>
            </w:r>
            <w:r>
              <w:t xml:space="preserve"> </w:t>
            </w:r>
            <w:r>
              <w:t xml:space="preserve">package)</w:t>
            </w:r>
          </w:p>
        </w:tc>
      </w:tr>
      <w:tr>
        <w:tc>
          <w:p>
            <w:pPr>
              <w:pStyle w:val="Compact"/>
              <w:jc w:val="left"/>
            </w:pPr>
            <w:r>
              <w:t xml:space="preserve">Extract by Mask</w:t>
            </w:r>
          </w:p>
        </w:tc>
        <w:tc>
          <w:p>
            <w:pPr>
              <w:pStyle w:val="Compact"/>
              <w:jc w:val="left"/>
            </w:pPr>
            <w:r>
              <w:rPr>
                <w:b/>
              </w:rPr>
              <w:t xml:space="preserve">Processing Toolbox</w:t>
            </w:r>
            <w:r>
              <w:t xml:space="preserve"> </w:t>
            </w:r>
            <w:r>
              <w:t xml:space="preserve">→</w:t>
            </w:r>
            <w:r>
              <w:t xml:space="preserve"> </w:t>
            </w:r>
            <w:r>
              <w:rPr>
                <w:b/>
              </w:rPr>
              <w:t xml:space="preserve">GDAL</w:t>
            </w:r>
            <w:r>
              <w:t xml:space="preserve"> </w:t>
            </w:r>
            <w:r>
              <w:t xml:space="preserve">→</w:t>
            </w:r>
            <w:r>
              <w:t xml:space="preserve"> </w:t>
            </w:r>
            <w:r>
              <w:rPr>
                <w:b/>
              </w:rPr>
              <w:t xml:space="preserve">Raster extraction</w:t>
            </w:r>
            <w:r>
              <w:t xml:space="preserve"> </w:t>
            </w:r>
            <w:r>
              <w:t xml:space="preserve">→</w:t>
            </w:r>
            <w:r>
              <w:t xml:space="preserve"> </w:t>
            </w:r>
            <w:r>
              <w:rPr>
                <w:b/>
              </w:rPr>
              <w:t xml:space="preserve">Clip raster by mask layer</w:t>
            </w:r>
          </w:p>
        </w:tc>
      </w:tr>
      <w:tr>
        <w:tc>
          <w:p>
            <w:pPr>
              <w:pStyle w:val="Compact"/>
              <w:jc w:val="left"/>
            </w:pPr>
            <w:r>
              <w:t xml:space="preserve">Euclidean Distance</w:t>
            </w:r>
          </w:p>
        </w:tc>
        <w:tc>
          <w:p>
            <w:pPr>
              <w:pStyle w:val="Compact"/>
              <w:jc w:val="left"/>
            </w:pPr>
            <w:r>
              <w:rPr>
                <w:b/>
              </w:rPr>
              <w:t xml:space="preserve">Processing Toolbox</w:t>
            </w:r>
            <w:r>
              <w:t xml:space="preserve"> </w:t>
            </w:r>
            <w:r>
              <w:t xml:space="preserve">→</w:t>
            </w:r>
            <w:r>
              <w:t xml:space="preserve"> </w:t>
            </w:r>
            <w:r>
              <w:rPr>
                <w:b/>
              </w:rPr>
              <w:t xml:space="preserve">GDAL</w:t>
            </w:r>
            <w:r>
              <w:t xml:space="preserve"> </w:t>
            </w:r>
            <w:r>
              <w:t xml:space="preserve">→</w:t>
            </w:r>
            <w:r>
              <w:t xml:space="preserve"> </w:t>
            </w:r>
            <w:r>
              <w:rPr>
                <w:b/>
              </w:rPr>
              <w:t xml:space="preserve">Raster analysis</w:t>
            </w:r>
            <w:r>
              <w:t xml:space="preserve"> </w:t>
            </w:r>
            <w:r>
              <w:t xml:space="preserve">→</w:t>
            </w:r>
            <w:r>
              <w:t xml:space="preserve"> </w:t>
            </w:r>
            <w:r>
              <w:rPr>
                <w:b/>
              </w:rPr>
              <w:t xml:space="preserve">Proximity (raster distance)</w:t>
            </w:r>
          </w:p>
        </w:tc>
      </w:tr>
      <w:tr>
        <w:tc>
          <w:p>
            <w:pPr>
              <w:pStyle w:val="Compact"/>
              <w:jc w:val="left"/>
            </w:pPr>
            <w:r>
              <w:t xml:space="preserve">Graduated Symbols</w:t>
            </w:r>
          </w:p>
        </w:tc>
        <w:tc>
          <w:p>
            <w:pPr>
              <w:pStyle w:val="Compact"/>
              <w:jc w:val="left"/>
            </w:pPr>
            <w:r>
              <w:rPr>
                <w:b/>
              </w:rPr>
              <w:t xml:space="preserve">Layer Properties</w:t>
            </w:r>
            <w:r>
              <w:t xml:space="preserve"> </w:t>
            </w:r>
            <w:r>
              <w:t xml:space="preserve">→</w:t>
            </w:r>
            <w:r>
              <w:t xml:space="preserve"> </w:t>
            </w:r>
            <w:r>
              <w:rPr>
                <w:b/>
              </w:rPr>
              <w:t xml:space="preserve">Symbology</w:t>
            </w:r>
            <w:r>
              <w:t xml:space="preserve"> </w:t>
            </w:r>
            <w:r>
              <w:t xml:space="preserve">→</w:t>
            </w:r>
            <w:r>
              <w:t xml:space="preserve"> </w:t>
            </w:r>
            <w:r>
              <w:rPr>
                <w:b/>
              </w:rPr>
              <w:t xml:space="preserve">Graduated</w:t>
            </w:r>
          </w:p>
        </w:tc>
      </w:tr>
    </w:tbl>
    <w:p>
      <w:pPr>
        <w:pStyle w:val="BodyText"/>
      </w:pPr>
      <w:r>
        <w:t xml:space="preserve">For a fully open-source workflow, the R packages</w:t>
      </w:r>
      <w:r>
        <w:t xml:space="preserve"> </w:t>
      </w:r>
      <w:r>
        <w:rPr>
          <w:rStyle w:val="VerbatimChar"/>
        </w:rPr>
        <w:t xml:space="preserve">gstat</w:t>
      </w:r>
      <w:r>
        <w:t xml:space="preserve"> </w:t>
      </w:r>
      <w:r>
        <w:t xml:space="preserve">and</w:t>
      </w:r>
      <w:r>
        <w:t xml:space="preserve"> </w:t>
      </w:r>
      <w:r>
        <w:rPr>
          <w:rStyle w:val="VerbatimChar"/>
        </w:rPr>
        <w:t xml:space="preserve">sf</w:t>
      </w:r>
      <w:r>
        <w:t xml:space="preserve"> </w:t>
      </w:r>
      <w:r>
        <w:t xml:space="preserve">provide kriging and cross-validation with greater statistical transparency — useful for reproducible exposure modeling.</w:t>
      </w:r>
    </w:p>
    <w:p>
      <w:r>
        <w:pict>
          <v:rect style="width:0;height:1.5pt" o:hralign="center" o:hrstd="t" o:hr="t"/>
        </w:pict>
      </w:r>
    </w:p>
    <w:p>
      <w:pPr>
        <w:pStyle w:val="Heading2"/>
      </w:pPr>
      <w:bookmarkStart w:id="42" w:name="check-your-understanding"/>
      <w:r>
        <w:t xml:space="preserve">Check your understanding</w:t>
      </w:r>
      <w:bookmarkEnd w:id="42"/>
    </w:p>
    <w:p>
      <w:pPr>
        <w:numPr>
          <w:ilvl w:val="0"/>
          <w:numId w:val="1015"/>
        </w:numPr>
      </w:pPr>
      <w:r>
        <w:t xml:space="preserve">You run IDW with power = 1 and power = 3 on the same monitor data. Which surface will show sharper</w:t>
      </w:r>
      <w:r>
        <w:t xml:space="preserve"> </w:t>
      </w:r>
      <w:r>
        <w:t xml:space="preserve">“</w:t>
      </w:r>
      <w:r>
        <w:t xml:space="preserve">bull’s-eye</w:t>
      </w:r>
      <w:r>
        <w:t xml:space="preserve">”</w:t>
      </w:r>
      <w:r>
        <w:t xml:space="preserve"> </w:t>
      </w:r>
      <w:r>
        <w:t xml:space="preserve">patterns around individual monitors, and why?</w:t>
      </w:r>
    </w:p>
    <w:p>
      <w:pPr>
        <w:numPr>
          <w:ilvl w:val="0"/>
          <w:numId w:val="1015"/>
        </w:numPr>
      </w:pPr>
      <w:r>
        <w:t xml:space="preserve">Your cross-validation RMSE for Ordinary Kriging is lower than for IDW Power = 2, but the standardized RMS for Kriging is 1.8 (well above 1.0). What does a standardized RMS of 1.8 tell you about the Kriging model’s uncertainty estimates?</w:t>
      </w:r>
    </w:p>
    <w:p>
      <w:pPr>
        <w:numPr>
          <w:ilvl w:val="0"/>
          <w:numId w:val="1015"/>
        </w:numPr>
      </w:pPr>
      <w:r>
        <w:t xml:space="preserve">A colleague looks at your smooth PM2.5 surface and says:</w:t>
      </w:r>
      <w:r>
        <w:t xml:space="preserve"> </w:t>
      </w:r>
      <w:r>
        <w:t xml:space="preserve">“</w:t>
      </w:r>
      <w:r>
        <w:t xml:space="preserve">This map shows that PM2.5 is uniformly low in Northeast Philadelphia.</w:t>
      </w:r>
      <w:r>
        <w:t xml:space="preserve">”</w:t>
      </w:r>
      <w:r>
        <w:t xml:space="preserve"> </w:t>
      </w:r>
      <w:r>
        <w:t xml:space="preserve">What is the flaw in that interpretation, and how would you use the distance-to-monitor raster to respond?</w:t>
      </w:r>
    </w:p>
    <w:p>
      <w:pPr>
        <w:numPr>
          <w:ilvl w:val="0"/>
          <w:numId w:val="1015"/>
        </w:numPr>
      </w:pPr>
      <w:r>
        <w:t xml:space="preserve">You have 8 monitors in a city of 142 square miles. A community organization in a neighborhood with no nearby monitor asks you to report the estimated PM2.5 concentration at their block. What cautions would you include in your response?</w:t>
      </w:r>
    </w:p>
    <w:p>
      <w:pPr>
        <w:numPr>
          <w:ilvl w:val="0"/>
          <w:numId w:val="1015"/>
        </w:numPr>
      </w:pPr>
      <w:r>
        <w:t xml:space="preserve">In what way is kriging statistically</w:t>
      </w:r>
      <w:r>
        <w:t xml:space="preserve"> </w:t>
      </w:r>
      <w:r>
        <w:t xml:space="preserve">“</w:t>
      </w:r>
      <w:r>
        <w:t xml:space="preserve">richer</w:t>
      </w:r>
      <w:r>
        <w:t xml:space="preserve">”</w:t>
      </w:r>
      <w:r>
        <w:t xml:space="preserve"> </w:t>
      </w:r>
      <w:r>
        <w:t xml:space="preserve">than IDW, and why might that advantage be diminished when you have very few data points?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3">
    <w:nsid w:val="b3cbbdee"/>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14">
    <w:nsid w:val="4fbe019a"/>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7">
    <w:nsid w:val="91a27d85"/>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2">
    <w:nsid w:val="615f1ed2"/>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6">
    <w:nsid w:val="238d8174"/>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27">
    <w:nsid w:val="41f388d6"/>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31">
    <w:nsid w:val="da4300bd"/>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994135">
    <w:nsid w:val="8c1c03f9"/>
    <w:multiLevelType w:val="multilevel"/>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2026-06-09T17:17:37Z</dcterms:created>
  <dcterms:modified xsi:type="dcterms:W3CDTF">2026-06-09T17:17:37Z</dcterms:modified>
</cp:coreProperties>
</file>

<file path=docProps/custom.xml><?xml version="1.0" encoding="utf-8"?>
<Properties xmlns="http://schemas.openxmlformats.org/officeDocument/2006/custom-properties" xmlns:vt="http://schemas.openxmlformats.org/officeDocument/2006/docPropsVTypes"/>
</file>