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e4d074ab3b0bef7c48960733de06080b42f2b2"/>
      <w:r>
        <w:t xml:space="preserve">Lab 5b: Cartographic Modeling Capstone — Heat-Health Vulnerability Index</w:t>
      </w:r>
      <w:bookmarkEnd w:id="20"/>
    </w:p>
    <w:p>
      <w:pPr>
        <w:pStyle w:val="FirstParagraph"/>
      </w:pPr>
      <w:r>
        <w:rPr>
          <w:i/>
        </w:rPr>
        <w:t xml:space="preserve">Intro GIS for Public Health · ArcGIS Pro 3.x · Day 5</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Extreme heat is the leading weather-related cause of death in the United States, and its burden falls unevenly across neighborhoods. Communities with high impervious cover, low tree canopy, elevated land-surface temperatures, and concentrated social vulnerability face compounding risks. This lab asks: which Philadelphia census tracts carry the highest combined heat-health risk, and how do we communicate that finding responsibly? By combining environmental and social layers into a composite index, you can direct heat-mitigation resources — cooling centers, tree planting, outreach — toward the places that need them most.</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Verify that multiple raster and vector layers share a common coordinate reference system (CRS) and cell size before analysis</w:t>
      </w:r>
    </w:p>
    <w:p>
      <w:pPr>
        <w:numPr>
          <w:ilvl w:val="0"/>
          <w:numId w:val="1001"/>
        </w:numPr>
        <w:pStyle w:val="Compact"/>
      </w:pPr>
      <w:r>
        <w:t xml:space="preserve">Convert a vector layer (CDC SVI tract polygons) to a raster surface</w:t>
      </w:r>
    </w:p>
    <w:p>
      <w:pPr>
        <w:numPr>
          <w:ilvl w:val="0"/>
          <w:numId w:val="1001"/>
        </w:numPr>
        <w:pStyle w:val="Compact"/>
      </w:pPr>
      <w:r>
        <w:t xml:space="preserve">Reclassify continuous raster inputs to a common 1–5 ordinal risk scale using</w:t>
      </w:r>
      <w:r>
        <w:t xml:space="preserve"> </w:t>
      </w:r>
      <w:r>
        <w:rPr>
          <w:b/>
        </w:rPr>
        <w:t xml:space="preserve">Reclassify</w:t>
      </w:r>
    </w:p>
    <w:p>
      <w:pPr>
        <w:numPr>
          <w:ilvl w:val="0"/>
          <w:numId w:val="1001"/>
        </w:numPr>
        <w:pStyle w:val="Compact"/>
      </w:pPr>
      <w:r>
        <w:t xml:space="preserve">Combine reclassified inputs into a composite index using</w:t>
      </w:r>
      <w:r>
        <w:t xml:space="preserve"> </w:t>
      </w:r>
      <w:r>
        <w:rPr>
          <w:b/>
        </w:rPr>
        <w:t xml:space="preserve">Weighted Overlay</w:t>
      </w:r>
      <w:r>
        <w:t xml:space="preserve"> </w:t>
      </w:r>
      <w:r>
        <w:t xml:space="preserve">(and</w:t>
      </w:r>
      <w:r>
        <w:t xml:space="preserve"> </w:t>
      </w:r>
      <w:r>
        <w:rPr>
          <w:b/>
        </w:rPr>
        <w:t xml:space="preserve">Weighted Sum</w:t>
      </w:r>
      <w:r>
        <w:t xml:space="preserve"> </w:t>
      </w:r>
      <w:r>
        <w:t xml:space="preserve">as a sensitivity check)</w:t>
      </w:r>
    </w:p>
    <w:p>
      <w:pPr>
        <w:numPr>
          <w:ilvl w:val="0"/>
          <w:numId w:val="1001"/>
        </w:numPr>
        <w:pStyle w:val="Compact"/>
      </w:pPr>
      <w:r>
        <w:t xml:space="preserve">Classify and symbolize the composite with a colorblind-safe sequential color ramp</w:t>
      </w:r>
    </w:p>
    <w:p>
      <w:pPr>
        <w:numPr>
          <w:ilvl w:val="0"/>
          <w:numId w:val="1001"/>
        </w:numPr>
        <w:pStyle w:val="Compact"/>
      </w:pPr>
      <w:r>
        <w:t xml:space="preserve">Build a complete, professional map layout in ArcGIS Pro and export to PDF and PNG</w:t>
      </w:r>
    </w:p>
    <w:p>
      <w:pPr>
        <w:numPr>
          <w:ilvl w:val="0"/>
          <w:numId w:val="1001"/>
        </w:numPr>
        <w:pStyle w:val="Compact"/>
      </w:pPr>
      <w:r>
        <w:t xml:space="preserve">Apply ethical framing to vulnerability maps intended for public audiences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composite heat-health vulnerability raster for Philadelphia (primary weighted overlay run)</w:t>
      </w:r>
    </w:p>
    <w:p>
      <w:pPr>
        <w:numPr>
          <w:ilvl w:val="0"/>
          <w:numId w:val="1002"/>
        </w:numPr>
        <w:pStyle w:val="Compact"/>
      </w:pPr>
      <w:r>
        <w:t xml:space="preserve">A sensitivity-check raster (alternative weights run) with a brief written comparison</w:t>
      </w:r>
    </w:p>
    <w:p>
      <w:pPr>
        <w:numPr>
          <w:ilvl w:val="0"/>
          <w:numId w:val="1002"/>
        </w:numPr>
        <w:pStyle w:val="Compact"/>
      </w:pPr>
      <w:r>
        <w:t xml:space="preserve">A finished map layout exported to PDF (300 dpi) and PNG (150 dpi) with all required map elements</w:t>
      </w:r>
    </w:p>
    <w:p>
      <w:pPr>
        <w:numPr>
          <w:ilvl w:val="0"/>
          <w:numId w:val="1002"/>
        </w:numPr>
        <w:pStyle w:val="Compact"/>
      </w:pPr>
      <w:r>
        <w:t xml:space="preserve">A 150-word written interpretation of the spatial pattern and the weight choices you made</w:t>
      </w:r>
    </w:p>
    <w:p>
      <w:pPr>
        <w:numPr>
          <w:ilvl w:val="0"/>
          <w:numId w:val="1002"/>
        </w:numPr>
        <w:pStyle w:val="Compact"/>
      </w:pPr>
      <w:r>
        <w:t xml:space="preserve">AI-assisted alt-text and map critique, labeled and annotated (see</w:t>
      </w:r>
      <w:r>
        <w:t xml:space="preserve"> </w:t>
      </w:r>
      <w:r>
        <w:rPr>
          <w:b/>
        </w:rPr>
        <w:t xml:space="preserve">Using AI in this lab</w:t>
      </w:r>
      <w:r>
        <w:t xml:space="preserve">)</w:t>
      </w:r>
    </w:p>
    <w:p>
      <w:r>
        <w:pict>
          <v:rect style="width:0;height:1.5pt" o:hralign="center" o:hrstd="t" o:hr="t"/>
        </w:pict>
      </w:r>
    </w:p>
    <w:p>
      <w:pPr>
        <w:pStyle w:val="Heading2"/>
      </w:pPr>
      <w:bookmarkStart w:id="24" w:name="data"/>
      <w:r>
        <w:t xml:space="preserve">Data</w:t>
      </w:r>
      <w:bookmarkEnd w:id="24"/>
    </w:p>
    <w:p>
      <w:pPr>
        <w:pStyle w:val="FirstParagraph"/>
      </w:pPr>
      <w:r>
        <w:t xml:space="preserve">All data are provided on the</w:t>
      </w:r>
      <w:r>
        <w:t xml:space="preserve"> </w:t>
      </w:r>
      <w:r>
        <w:rPr>
          <w:b/>
        </w:rPr>
        <w:t xml:space="preserve">W: drive</w:t>
      </w:r>
      <w:r>
        <w:t xml:space="preserve"> </w:t>
      </w:r>
      <w:r>
        <w:t xml:space="preserve">— this shorthand refers to your course storage drive (the exact path will vary by classroom setup; your instructor will confirm the root folder). Unless noted, files are in</w:t>
      </w:r>
      <w:r>
        <w:t xml:space="preserve"> </w:t>
      </w:r>
      <w:r>
        <w:rPr>
          <w:rStyle w:val="VerbatimChar"/>
        </w:rPr>
        <w:t xml:space="preserve">W:\Lab05b\data\</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phl_LST_summer.tif</w:t>
            </w:r>
          </w:p>
        </w:tc>
        <w:tc>
          <w:p>
            <w:pPr>
              <w:pStyle w:val="Compact"/>
              <w:jc w:val="left"/>
            </w:pPr>
            <w:r>
              <w:t xml:space="preserve">Mean summer land-surface temperature (°C), Landsat 8/9 thermal band, Philadelphia</w:t>
            </w:r>
          </w:p>
        </w:tc>
        <w:tc>
          <w:p>
            <w:pPr>
              <w:pStyle w:val="Compact"/>
              <w:jc w:val="left"/>
            </w:pPr>
            <w:r>
              <w:t xml:space="preserve">Instructor-provided (from Lab 4c); USGS / NOAA HEAT.gov</w:t>
            </w:r>
          </w:p>
        </w:tc>
      </w:tr>
      <w:tr>
        <w:tc>
          <w:p>
            <w:pPr>
              <w:pStyle w:val="Compact"/>
              <w:jc w:val="left"/>
            </w:pPr>
            <w:r>
              <w:rPr>
                <w:rStyle w:val="VerbatimChar"/>
              </w:rPr>
              <w:t xml:space="preserve">phl_treecanopy.tif</w:t>
            </w:r>
          </w:p>
        </w:tc>
        <w:tc>
          <w:p>
            <w:pPr>
              <w:pStyle w:val="Compact"/>
              <w:jc w:val="left"/>
            </w:pPr>
            <w:r>
              <w:t xml:space="preserve">Percent tree canopy cover per 30 m cell, NLCD</w:t>
            </w:r>
          </w:p>
        </w:tc>
        <w:tc>
          <w:p>
            <w:pPr>
              <w:pStyle w:val="Compact"/>
              <w:jc w:val="left"/>
            </w:pPr>
            <w:r>
              <w:t xml:space="preserve">Instructor-provided; MRLC / USFS</w:t>
            </w:r>
          </w:p>
        </w:tc>
      </w:tr>
      <w:tr>
        <w:tc>
          <w:p>
            <w:pPr>
              <w:pStyle w:val="Compact"/>
              <w:jc w:val="left"/>
            </w:pPr>
            <w:r>
              <w:rPr>
                <w:rStyle w:val="VerbatimChar"/>
              </w:rPr>
              <w:t xml:space="preserve">phl_impervious.tif</w:t>
            </w:r>
          </w:p>
        </w:tc>
        <w:tc>
          <w:p>
            <w:pPr>
              <w:pStyle w:val="Compact"/>
              <w:jc w:val="left"/>
            </w:pPr>
            <w:r>
              <w:t xml:space="preserve">Percent impervious surface per 30 m cell, NLCD</w:t>
            </w:r>
          </w:p>
        </w:tc>
        <w:tc>
          <w:p>
            <w:pPr>
              <w:pStyle w:val="Compact"/>
              <w:jc w:val="left"/>
            </w:pPr>
            <w:r>
              <w:t xml:space="preserve">Instructor-provided; MRLC</w:t>
            </w:r>
          </w:p>
        </w:tc>
      </w:tr>
      <w:tr>
        <w:tc>
          <w:p>
            <w:pPr>
              <w:pStyle w:val="Compact"/>
              <w:jc w:val="left"/>
            </w:pPr>
            <w:r>
              <w:rPr>
                <w:rStyle w:val="VerbatimChar"/>
              </w:rPr>
              <w:t xml:space="preserve">phl_tracts_SVI.shp</w:t>
            </w:r>
          </w:p>
        </w:tc>
        <w:tc>
          <w:p>
            <w:pPr>
              <w:pStyle w:val="Compact"/>
              <w:jc w:val="left"/>
            </w:pPr>
            <w:r>
              <w:t xml:space="preserve">CDC/ATSDR Social Vulnerability Index 2022, Philadelphia County tracts, with geometry</w:t>
            </w:r>
          </w:p>
        </w:tc>
        <w:tc>
          <w:p>
            <w:pPr>
              <w:pStyle w:val="Compact"/>
              <w:jc w:val="left"/>
            </w:pPr>
            <w:r>
              <w:t xml:space="preserve">CDC/ATSDR SVI; also at atsdr.cdc.gov/placeandhealth/svi</w:t>
            </w:r>
          </w:p>
        </w:tc>
      </w:tr>
      <w:tr>
        <w:tc>
          <w:p>
            <w:pPr>
              <w:pStyle w:val="Compact"/>
              <w:jc w:val="left"/>
            </w:pPr>
            <w:r>
              <w:rPr>
                <w:rStyle w:val="VerbatimChar"/>
              </w:rPr>
              <w:t xml:space="preserve">phl_tracts.shp</w:t>
            </w:r>
          </w:p>
        </w:tc>
        <w:tc>
          <w:p>
            <w:pPr>
              <w:pStyle w:val="Compact"/>
              <w:jc w:val="left"/>
            </w:pPr>
            <w:r>
              <w:t xml:space="preserve">Philadelphia census tract boundaries (TIGER/Line)</w:t>
            </w:r>
          </w:p>
        </w:tc>
        <w:tc>
          <w:p>
            <w:pPr>
              <w:pStyle w:val="Compact"/>
              <w:jc w:val="left"/>
            </w:pPr>
            <w:r>
              <w:t xml:space="preserve">U.S. Census Bureau</w:t>
            </w:r>
          </w:p>
        </w:tc>
      </w:tr>
    </w:tbl>
    <w:p>
      <w:pPr>
        <w:pStyle w:val="BlockText"/>
      </w:pPr>
      <w:r>
        <w:rPr>
          <w:b/>
        </w:rPr>
        <w:t xml:space="preserve">Note:</w:t>
      </w:r>
      <w:r>
        <w:t xml:space="preserve"> </w:t>
      </w:r>
      <w:r>
        <w:t xml:space="preserve">You will use either</w:t>
      </w:r>
      <w:r>
        <w:t xml:space="preserve"> </w:t>
      </w:r>
      <w:r>
        <w:rPr>
          <w:rStyle w:val="VerbatimChar"/>
        </w:rPr>
        <w:t xml:space="preserve">phl_treecanopy.tif</w:t>
      </w:r>
      <w:r>
        <w:t xml:space="preserve"> </w:t>
      </w:r>
      <w:r>
        <w:t xml:space="preserve">or</w:t>
      </w:r>
      <w:r>
        <w:t xml:space="preserve"> </w:t>
      </w:r>
      <w:r>
        <w:rPr>
          <w:rStyle w:val="VerbatimChar"/>
        </w:rPr>
        <w:t xml:space="preserve">phl_impervious.tif</w:t>
      </w:r>
      <w:r>
        <w:t xml:space="preserve"> </w:t>
      </w:r>
      <w:r>
        <w:t xml:space="preserve">as your third environmental input — they measure opposite ends of the same land-cover gradient. The lab uses tree canopy; if your instructor substitutes impervious surface, the reclassification direction reverses (see Part 2).</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Labs 1–5a (project setup, Geoprocessing pane, Spatial Analyst raster tools, attribute joins). Lab 4c (LST) and Labs 4a–b (SVI join) must be complete.</w:t>
      </w:r>
    </w:p>
    <w:p>
      <w:pPr>
        <w:pStyle w:val="BodyText"/>
      </w:pPr>
      <w:r>
        <w:rPr>
          <w:b/>
        </w:rPr>
        <w:t xml:space="preserve">Time estimate:</w:t>
      </w:r>
      <w:r>
        <w:t xml:space="preserve"> </w:t>
      </w:r>
      <w:r>
        <w:t xml:space="preserve">2.5–3 hours for a first pass; allow extra time if the Weighted Overlay result needs re-runs.</w:t>
      </w:r>
    </w:p>
    <w:p>
      <w:pPr>
        <w:pStyle w:val="BodyText"/>
      </w:pPr>
      <w:r>
        <w:rPr>
          <w:b/>
        </w:rPr>
        <w:t xml:space="preserve">Extension required:</w:t>
      </w:r>
      <w:r>
        <w:t xml:space="preserve"> </w:t>
      </w:r>
      <w:r>
        <w:t xml:space="preserve">Spatial Analyst. Confirm on the</w:t>
      </w:r>
      <w:r>
        <w:t xml:space="preserve"> </w:t>
      </w:r>
      <w:r>
        <w:rPr>
          <w:b/>
        </w:rPr>
        <w:t xml:space="preserve">Project</w:t>
      </w:r>
      <w:r>
        <w:t xml:space="preserve"> </w:t>
      </w:r>
      <w:r>
        <w:t xml:space="preserve">tab →</w:t>
      </w:r>
      <w:r>
        <w:t xml:space="preserve"> </w:t>
      </w:r>
      <w:r>
        <w:rPr>
          <w:b/>
        </w:rPr>
        <w:t xml:space="preserve">Licensing</w:t>
      </w:r>
      <w:r>
        <w:t xml:space="preserve">.</w:t>
      </w:r>
    </w:p>
    <w:p>
      <w:pPr>
        <w:pStyle w:val="BodyText"/>
      </w:pPr>
      <w:r>
        <w:rPr>
          <w:b/>
        </w:rPr>
        <w:t xml:space="preserve">Before opening ArcGIS Pro:</w:t>
      </w:r>
    </w:p>
    <w:p>
      <w:pPr>
        <w:numPr>
          <w:ilvl w:val="0"/>
          <w:numId w:val="1003"/>
        </w:numPr>
        <w:pStyle w:val="Compact"/>
      </w:pPr>
      <w:r>
        <w:t xml:space="preserve">Create a project folder at</w:t>
      </w:r>
      <w:r>
        <w:t xml:space="preserve"> </w:t>
      </w:r>
      <w:r>
        <w:rPr>
          <w:rStyle w:val="VerbatimChar"/>
        </w:rPr>
        <w:t xml:space="preserve">W:\Lab05b\</w:t>
      </w:r>
      <w:r>
        <w:t xml:space="preserve"> </w:t>
      </w:r>
      <w:r>
        <w:t xml:space="preserve">if it does not already exist.</w:t>
      </w:r>
    </w:p>
    <w:p>
      <w:pPr>
        <w:numPr>
          <w:ilvl w:val="0"/>
          <w:numId w:val="1003"/>
        </w:numPr>
        <w:pStyle w:val="Compact"/>
      </w:pPr>
      <w:r>
        <w:t xml:space="preserve">Copy all data files from</w:t>
      </w:r>
      <w:r>
        <w:t xml:space="preserve"> </w:t>
      </w:r>
      <w:r>
        <w:rPr>
          <w:rStyle w:val="VerbatimChar"/>
        </w:rPr>
        <w:t xml:space="preserve">W:\Lab05b\data\</w:t>
      </w:r>
      <w:r>
        <w:t xml:space="preserve"> </w:t>
      </w:r>
      <w:r>
        <w:t xml:space="preserve">to a local temp folder if your instructor advises it (reduces network lag on raster operations).</w:t>
      </w:r>
    </w:p>
    <w:p>
      <w:pPr>
        <w:numPr>
          <w:ilvl w:val="0"/>
          <w:numId w:val="1003"/>
        </w:numPr>
        <w:pStyle w:val="Compact"/>
      </w:pPr>
      <w:r>
        <w:t xml:space="preserve">Open ArcGIS Pro and create a new project named</w:t>
      </w:r>
      <w:r>
        <w:t xml:space="preserve"> </w:t>
      </w:r>
      <w:r>
        <w:rPr>
          <w:rStyle w:val="VerbatimChar"/>
        </w:rPr>
        <w:t xml:space="preserve">Lab05b_HeatVulnerability</w:t>
      </w:r>
      <w:r>
        <w:t xml:space="preserve"> </w:t>
      </w:r>
      <w:r>
        <w:t xml:space="preserve">in</w:t>
      </w:r>
      <w:r>
        <w:t xml:space="preserve"> </w:t>
      </w:r>
      <w:r>
        <w:rPr>
          <w:rStyle w:val="VerbatimChar"/>
        </w:rPr>
        <w:t xml:space="preserve">W:\Lab05b\</w:t>
      </w:r>
      <w:r>
        <w:t xml:space="preserve">. Accept the default file geodatabase (</w:t>
      </w:r>
      <w:r>
        <w:rPr>
          <w:rStyle w:val="VerbatimChar"/>
        </w:rPr>
        <w:t xml:space="preserve">Lab05b_HeatVulnerability.gdb</w:t>
      </w:r>
      <w:r>
        <w:t xml:space="preserve">).</w:t>
      </w:r>
    </w:p>
    <w:p>
      <w:r>
        <w:pict>
          <v:rect style="width:0;height:1.5pt" o:hralign="center" o:hrstd="t" o:hr="t"/>
        </w:pict>
      </w:r>
    </w:p>
    <w:p>
      <w:pPr>
        <w:pStyle w:val="Heading2"/>
      </w:pPr>
      <w:bookmarkStart w:id="26" w:name="X9433bbc6f7ed5e8a4b1fb888c8e750300845c18"/>
      <w:r>
        <w:t xml:space="preserve">Part 1: Verify inputs — CRS and cell size alignment</w:t>
      </w:r>
      <w:bookmarkEnd w:id="26"/>
    </w:p>
    <w:p>
      <w:pPr>
        <w:pStyle w:val="FirstParagraph"/>
      </w:pPr>
      <w:r>
        <w:t xml:space="preserve">Before any raster analysis, confirm all inputs share the same projection and spatial resolution. Mismatched inputs produce silent errors — cells that do not overlay correctly.</w:t>
      </w:r>
    </w:p>
    <w:p>
      <w:pPr>
        <w:numPr>
          <w:ilvl w:val="0"/>
          <w:numId w:val="1004"/>
        </w:numPr>
        <w:pStyle w:val="Compact"/>
      </w:pPr>
      <w:r>
        <w:t xml:space="preserve">In the</w:t>
      </w:r>
      <w:r>
        <w:t xml:space="preserve"> </w:t>
      </w:r>
      <w:r>
        <w:rPr>
          <w:b/>
        </w:rPr>
        <w:t xml:space="preserve">Catalog</w:t>
      </w:r>
      <w:r>
        <w:t xml:space="preserve"> </w:t>
      </w:r>
      <w:r>
        <w:t xml:space="preserve">pane, expand</w:t>
      </w:r>
      <w:r>
        <w:t xml:space="preserve"> </w:t>
      </w:r>
      <w:r>
        <w:rPr>
          <w:b/>
        </w:rPr>
        <w:t xml:space="preserve">Folders</w:t>
      </w:r>
      <w:r>
        <w:t xml:space="preserve">, navigate to</w:t>
      </w:r>
      <w:r>
        <w:t xml:space="preserve"> </w:t>
      </w:r>
      <w:r>
        <w:rPr>
          <w:rStyle w:val="VerbatimChar"/>
        </w:rPr>
        <w:t xml:space="preserve">W:\Lab05b\data\</w:t>
      </w:r>
      <w:r>
        <w:t xml:space="preserve">, and add all five files to the map by dragging them into the</w:t>
      </w:r>
      <w:r>
        <w:t xml:space="preserve"> </w:t>
      </w:r>
      <w:r>
        <w:rPr>
          <w:b/>
        </w:rPr>
        <w:t xml:space="preserve">Contents</w:t>
      </w:r>
      <w:r>
        <w:t xml:space="preserve"> </w:t>
      </w:r>
      <w:r>
        <w:t xml:space="preserve">pane.</w:t>
      </w:r>
    </w:p>
    <w:p>
      <w:pPr>
        <w:numPr>
          <w:ilvl w:val="0"/>
          <w:numId w:val="1004"/>
        </w:numPr>
        <w:pStyle w:val="Compact"/>
      </w:pPr>
      <w:r>
        <w:t xml:space="preserve">In the</w:t>
      </w:r>
      <w:r>
        <w:t xml:space="preserve"> </w:t>
      </w:r>
      <w:r>
        <w:rPr>
          <w:b/>
        </w:rPr>
        <w:t xml:space="preserve">Contents</w:t>
      </w:r>
      <w:r>
        <w:t xml:space="preserve"> </w:t>
      </w:r>
      <w:r>
        <w:t xml:space="preserve">pane, right-click</w:t>
      </w:r>
      <w:r>
        <w:t xml:space="preserve"> </w:t>
      </w:r>
      <w:r>
        <w:rPr>
          <w:rStyle w:val="VerbatimChar"/>
        </w:rPr>
        <w:t xml:space="preserve">phl_LST_summer</w:t>
      </w:r>
      <w:r>
        <w:t xml:space="preserve"> </w:t>
      </w:r>
      <w:r>
        <w:t xml:space="preserve">and choose</w:t>
      </w:r>
      <w:r>
        <w:t xml:space="preserve"> </w:t>
      </w:r>
      <w:r>
        <w:rPr>
          <w:b/>
        </w:rPr>
        <w:t xml:space="preserve">Properties</w:t>
      </w:r>
      <w:r>
        <w:t xml:space="preserve">. On the</w:t>
      </w:r>
      <w:r>
        <w:t xml:space="preserve"> </w:t>
      </w:r>
      <w:r>
        <w:rPr>
          <w:b/>
        </w:rPr>
        <w:t xml:space="preserve">Source</w:t>
      </w:r>
      <w:r>
        <w:t xml:space="preserve"> </w:t>
      </w:r>
      <w:r>
        <w:t xml:space="preserve">tab, note the CRS (it should read</w:t>
      </w:r>
      <w:r>
        <w:t xml:space="preserve"> </w:t>
      </w:r>
      <w:r>
        <w:rPr>
          <w:b/>
        </w:rPr>
        <w:t xml:space="preserve">NAD83 UTM Zone 18N, EPSG:26918</w:t>
      </w:r>
      <w:r>
        <w:t xml:space="preserve">) and the cell size (30 × 30 m).</w:t>
      </w:r>
    </w:p>
    <w:p>
      <w:pPr>
        <w:numPr>
          <w:ilvl w:val="0"/>
          <w:numId w:val="1004"/>
        </w:numPr>
        <w:pStyle w:val="Compact"/>
      </w:pPr>
      <w:r>
        <w:t xml:space="preserve">Repeat for</w:t>
      </w:r>
      <w:r>
        <w:t xml:space="preserve"> </w:t>
      </w:r>
      <w:r>
        <w:rPr>
          <w:rStyle w:val="VerbatimChar"/>
        </w:rPr>
        <w:t xml:space="preserve">phl_treecanopy</w:t>
      </w:r>
      <w:r>
        <w:t xml:space="preserve"> </w:t>
      </w:r>
      <w:r>
        <w:t xml:space="preserve">and</w:t>
      </w:r>
      <w:r>
        <w:t xml:space="preserve"> </w:t>
      </w:r>
      <w:r>
        <w:rPr>
          <w:rStyle w:val="VerbatimChar"/>
        </w:rPr>
        <w:t xml:space="preserve">phl_impervious</w:t>
      </w:r>
      <w:r>
        <w:t xml:space="preserve">. All three rasters must share the same CRS and cell size.</w:t>
      </w:r>
    </w:p>
    <w:p>
      <w:pPr>
        <w:numPr>
          <w:ilvl w:val="0"/>
          <w:numId w:val="1004"/>
        </w:numPr>
        <w:pStyle w:val="Compact"/>
      </w:pPr>
      <w:r>
        <w:t xml:space="preserve">Right-click</w:t>
      </w:r>
      <w:r>
        <w:t xml:space="preserve"> </w:t>
      </w:r>
      <w:r>
        <w:rPr>
          <w:rStyle w:val="VerbatimChar"/>
        </w:rPr>
        <w:t xml:space="preserve">phl_tracts_SVI</w:t>
      </w:r>
      <w:r>
        <w:t xml:space="preserve"> </w:t>
      </w:r>
      <w:r>
        <w:t xml:space="preserve">→</w:t>
      </w:r>
      <w:r>
        <w:t xml:space="preserve"> </w:t>
      </w:r>
      <w:r>
        <w:rPr>
          <w:b/>
        </w:rPr>
        <w:t xml:space="preserve">Properties</w:t>
      </w:r>
      <w:r>
        <w:t xml:space="preserve"> </w:t>
      </w:r>
      <w:r>
        <w:t xml:space="preserve">→</w:t>
      </w:r>
      <w:r>
        <w:t xml:space="preserve"> </w:t>
      </w:r>
      <w:r>
        <w:rPr>
          <w:b/>
        </w:rPr>
        <w:t xml:space="preserve">Source</w:t>
      </w:r>
      <w:r>
        <w:t xml:space="preserve">. Confirm it is also in</w:t>
      </w:r>
      <w:r>
        <w:t xml:space="preserve"> </w:t>
      </w:r>
      <w:r>
        <w:rPr>
          <w:b/>
        </w:rPr>
        <w:t xml:space="preserve">EPSG:26918</w:t>
      </w:r>
      <w:r>
        <w:t xml:space="preserve">. If it shows a different CRS, reproject it now: open the</w:t>
      </w:r>
      <w:r>
        <w:t xml:space="preserve"> </w:t>
      </w:r>
      <w:r>
        <w:rPr>
          <w:b/>
        </w:rPr>
        <w:t xml:space="preserve">Project</w:t>
      </w:r>
      <w:r>
        <w:t xml:space="preserve"> </w:t>
      </w:r>
      <w:r>
        <w:t xml:space="preserve">tool (</w:t>
      </w:r>
      <w:r>
        <w:rPr>
          <w:b/>
        </w:rPr>
        <w:t xml:space="preserve">Data Management</w:t>
      </w:r>
      <w:r>
        <w:t xml:space="preserve"> </w:t>
      </w:r>
      <w:r>
        <w:t xml:space="preserve">tab →</w:t>
      </w:r>
      <w:r>
        <w:t xml:space="preserve"> </w:t>
      </w:r>
      <w:r>
        <w:rPr>
          <w:b/>
        </w:rPr>
        <w:t xml:space="preserve">Tools</w:t>
      </w:r>
      <w:r>
        <w:t xml:space="preserve">, or search the Geoprocessing pane) and reproject to EPSG:26918 before continuing.</w:t>
      </w:r>
    </w:p>
    <w:p>
      <w:pPr>
        <w:pStyle w:val="FirstParagraph"/>
      </w:pPr>
      <w:r>
        <w:rPr>
          <w:i/>
        </w:rPr>
        <w:t xml:space="preserve">[Figure: Contents pane showing all five layers loaded; Source tab of LST raster properties showing EPSG:26918 and 30 m cell size]</w:t>
      </w:r>
    </w:p>
    <w:p>
      <w:pPr>
        <w:pStyle w:val="BlockText"/>
      </w:pPr>
      <w:r>
        <w:rPr>
          <w:b/>
        </w:rPr>
        <w:t xml:space="preserve">Note:</w:t>
      </w:r>
      <w:r>
        <w:t xml:space="preserve"> </w:t>
      </w:r>
      <w:r>
        <w:t xml:space="preserve">NAD83 UTM Zone 18N (meters) preserves area and distance for overlay calculations. State Plane South (EPSG:2272, feet) is fine for vector work, but do not mix unit systems in raster operations.</w:t>
      </w:r>
    </w:p>
    <w:p>
      <w:pPr>
        <w:pStyle w:val="BlockText"/>
      </w:pPr>
      <w:r>
        <w:rPr>
          <w:b/>
        </w:rPr>
        <w:t xml:space="preserve">Public health note:</w:t>
      </w:r>
      <w:r>
        <w:t xml:space="preserve"> </w:t>
      </w:r>
      <w:r>
        <w:t xml:space="preserve">CRS mismatches are one of the most common silent errors in vulnerability mapping. If your LST and SVI layers are in different projections and you skip this check, the overlay will be geometrically incorrect — the result may look plausible but will attribute risk to the wrong neighborhoods.</w:t>
      </w:r>
    </w:p>
    <w:p>
      <w:r>
        <w:pict>
          <v:rect style="width:0;height:1.5pt" o:hralign="center" o:hrstd="t" o:hr="t"/>
        </w:pict>
      </w:r>
    </w:p>
    <w:p>
      <w:pPr>
        <w:pStyle w:val="Heading2"/>
      </w:pPr>
      <w:bookmarkStart w:id="27" w:name="part-2-convert-svi-to-raster"/>
      <w:r>
        <w:t xml:space="preserve">Part 2: Convert SVI to raster</w:t>
      </w:r>
      <w:bookmarkEnd w:id="27"/>
    </w:p>
    <w:p>
      <w:pPr>
        <w:pStyle w:val="FirstParagraph"/>
      </w:pPr>
      <w:r>
        <w:t xml:space="preserve">The SVI is a vector polygon layer. Weighted Overlay requires raster inputs, so you will convert it to a raster matching the resolution of your LST raster.</w:t>
      </w:r>
    </w:p>
    <w:p>
      <w:pPr>
        <w:numPr>
          <w:ilvl w:val="0"/>
          <w:numId w:val="1005"/>
        </w:numPr>
      </w:pPr>
      <w:r>
        <w:t xml:space="preserve">In the Geoprocessing pane, search for</w:t>
      </w:r>
      <w:r>
        <w:t xml:space="preserve"> </w:t>
      </w:r>
      <w:r>
        <w:rPr>
          <w:b/>
        </w:rPr>
        <w:t xml:space="preserve">Polygon to Raster</w:t>
      </w:r>
      <w:r>
        <w:t xml:space="preserve"> </w:t>
      </w:r>
      <w:r>
        <w:t xml:space="preserve">(Conversion Tools → To Raster).</w:t>
      </w:r>
    </w:p>
    <w:p>
      <w:pPr>
        <w:numPr>
          <w:ilvl w:val="0"/>
          <w:numId w:val="1005"/>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Features</w:t>
            </w:r>
          </w:p>
        </w:tc>
        <w:tc>
          <w:p>
            <w:pPr>
              <w:numPr>
                <w:ilvl w:val="0"/>
                <w:numId w:val="1000"/>
              </w:numPr>
              <w:pStyle w:val="Compact"/>
              <w:jc w:val="left"/>
            </w:pPr>
            <w:r>
              <w:rPr>
                <w:rStyle w:val="VerbatimChar"/>
              </w:rPr>
              <w:t xml:space="preserve">phl_tracts_SVI</w:t>
            </w:r>
          </w:p>
        </w:tc>
      </w:tr>
      <w:tr>
        <w:tc>
          <w:p>
            <w:pPr>
              <w:numPr>
                <w:ilvl w:val="0"/>
                <w:numId w:val="1000"/>
              </w:numPr>
              <w:pStyle w:val="Compact"/>
              <w:jc w:val="left"/>
            </w:pPr>
            <w:r>
              <w:t xml:space="preserve">Value Field</w:t>
            </w:r>
          </w:p>
        </w:tc>
        <w:tc>
          <w:p>
            <w:pPr>
              <w:numPr>
                <w:ilvl w:val="0"/>
                <w:numId w:val="1000"/>
              </w:numPr>
              <w:pStyle w:val="Compact"/>
              <w:jc w:val="left"/>
            </w:pPr>
            <w:r>
              <w:rPr>
                <w:rStyle w:val="VerbatimChar"/>
              </w:rPr>
              <w:t xml:space="preserve">RPL_THEMES</w:t>
            </w:r>
            <w:r>
              <w:t xml:space="preserve"> </w:t>
            </w:r>
            <w:r>
              <w:t xml:space="preserve">(overall SVI percentile rank, 0–1)</w:t>
            </w:r>
          </w:p>
        </w:tc>
      </w:tr>
      <w:tr>
        <w:tc>
          <w:p>
            <w:pPr>
              <w:numPr>
                <w:ilvl w:val="0"/>
                <w:numId w:val="1000"/>
              </w:numPr>
              <w:pStyle w:val="Compact"/>
              <w:jc w:val="left"/>
            </w:pPr>
            <w:r>
              <w:t xml:space="preserve">Output Raster Dataset</w:t>
            </w:r>
          </w:p>
        </w:tc>
        <w:tc>
          <w:p>
            <w:pPr>
              <w:numPr>
                <w:ilvl w:val="0"/>
                <w:numId w:val="1000"/>
              </w:numPr>
              <w:pStyle w:val="Compact"/>
              <w:jc w:val="left"/>
            </w:pPr>
            <w:r>
              <w:rPr>
                <w:rStyle w:val="VerbatimChar"/>
              </w:rPr>
              <w:t xml:space="preserve">phl_SVI_raster</w:t>
            </w:r>
            <w:r>
              <w:t xml:space="preserve"> </w:t>
            </w:r>
            <w:r>
              <w:t xml:space="preserve">(save to your geodatabase)</w:t>
            </w:r>
          </w:p>
        </w:tc>
      </w:tr>
      <w:tr>
        <w:tc>
          <w:p>
            <w:pPr>
              <w:numPr>
                <w:ilvl w:val="0"/>
                <w:numId w:val="1000"/>
              </w:numPr>
              <w:pStyle w:val="Compact"/>
              <w:jc w:val="left"/>
            </w:pPr>
            <w:r>
              <w:t xml:space="preserve">Cell Assignment Type</w:t>
            </w:r>
          </w:p>
        </w:tc>
        <w:tc>
          <w:p>
            <w:pPr>
              <w:numPr>
                <w:ilvl w:val="0"/>
                <w:numId w:val="1000"/>
              </w:numPr>
              <w:pStyle w:val="Compact"/>
              <w:jc w:val="left"/>
            </w:pPr>
            <w:r>
              <w:rPr>
                <w:rStyle w:val="VerbatimChar"/>
              </w:rPr>
              <w:t xml:space="preserve">MAXIMUM_AREA</w:t>
            </w:r>
          </w:p>
        </w:tc>
      </w:tr>
      <w:tr>
        <w:tc>
          <w:p>
            <w:pPr>
              <w:numPr>
                <w:ilvl w:val="0"/>
                <w:numId w:val="1000"/>
              </w:numPr>
              <w:pStyle w:val="Compact"/>
              <w:jc w:val="left"/>
            </w:pPr>
            <w:r>
              <w:t xml:space="preserve">Cellsize</w:t>
            </w:r>
          </w:p>
        </w:tc>
        <w:tc>
          <w:p>
            <w:pPr>
              <w:numPr>
                <w:ilvl w:val="0"/>
                <w:numId w:val="1000"/>
              </w:numPr>
              <w:pStyle w:val="Compact"/>
              <w:jc w:val="left"/>
            </w:pPr>
            <w:r>
              <w:rPr>
                <w:rStyle w:val="VerbatimChar"/>
              </w:rPr>
              <w:t xml:space="preserve">30</w:t>
            </w:r>
            <w:r>
              <w:t xml:space="preserve"> </w:t>
            </w:r>
            <w:r>
              <w:t xml:space="preserve">(match LST cell size)</w:t>
            </w:r>
          </w:p>
        </w:tc>
      </w:tr>
    </w:tbl>
    <w:p>
      <w:pPr>
        <w:numPr>
          <w:ilvl w:val="0"/>
          <w:numId w:val="1005"/>
        </w:numPr>
      </w:pPr>
      <w:r>
        <w:t xml:space="preserve">Click</w:t>
      </w:r>
      <w:r>
        <w:t xml:space="preserve"> </w:t>
      </w:r>
      <w:r>
        <w:rPr>
          <w:b/>
        </w:rPr>
        <w:t xml:space="preserve">Run</w:t>
      </w:r>
      <w:r>
        <w:t xml:space="preserve">. The output raster assigns each 30 m cell the SVI rank of the tract it falls within.</w:t>
      </w:r>
    </w:p>
    <w:p>
      <w:pPr>
        <w:pStyle w:val="BlockText"/>
      </w:pPr>
      <w:r>
        <w:rPr>
          <w:b/>
        </w:rPr>
        <w:t xml:space="preserve">Public health note:</w:t>
      </w:r>
      <w:r>
        <w:t xml:space="preserve"> </w:t>
      </w:r>
      <w:r>
        <w:rPr>
          <w:rStyle w:val="VerbatimChar"/>
        </w:rPr>
        <w:t xml:space="preserve">RPL_THEMES</w:t>
      </w:r>
      <w:r>
        <w:t xml:space="preserve"> </w:t>
      </w:r>
      <w:r>
        <w:t xml:space="preserve">ranges 0–1; values near 1 indicate greater vulnerability. Cells at tract boundaries take the value of the tract covering the most area — a known approximation. For greater precision, run this workflow at the block-group level.</w:t>
      </w:r>
    </w:p>
    <w:p>
      <w:pPr>
        <w:pStyle w:val="FirstParagraph"/>
      </w:pPr>
      <w:r>
        <w:rPr>
          <w:i/>
        </w:rPr>
        <w:t xml:space="preserve">[Figure: Geoprocessing pane showing Polygon to Raster parameters filled in]</w:t>
      </w:r>
    </w:p>
    <w:p>
      <w:r>
        <w:pict>
          <v:rect style="width:0;height:1.5pt" o:hralign="center" o:hrstd="t" o:hr="t"/>
        </w:pict>
      </w:r>
    </w:p>
    <w:p>
      <w:pPr>
        <w:pStyle w:val="Heading2"/>
      </w:pPr>
      <w:bookmarkStart w:id="28" w:name="X8417eaf76d9fca7ca83117596750dede6677468"/>
      <w:r>
        <w:t xml:space="preserve">Part 3: Reclassify each input to a 1–5 risk scale</w:t>
      </w:r>
      <w:bookmarkEnd w:id="28"/>
    </w:p>
    <w:p>
      <w:pPr>
        <w:pStyle w:val="FirstParagraph"/>
      </w:pPr>
      <w:r>
        <w:t xml:space="preserve">Reclassify each raster input to a 1–5 ordinal scale where</w:t>
      </w:r>
      <w:r>
        <w:t xml:space="preserve"> </w:t>
      </w:r>
      <w:r>
        <w:rPr>
          <w:b/>
        </w:rPr>
        <w:t xml:space="preserve">5 = highest heat-health risk</w:t>
      </w:r>
      <w:r>
        <w:t xml:space="preserve"> </w:t>
      </w:r>
      <w:r>
        <w:t xml:space="preserve">and</w:t>
      </w:r>
      <w:r>
        <w:t xml:space="preserve"> </w:t>
      </w:r>
      <w:r>
        <w:rPr>
          <w:b/>
        </w:rPr>
        <w:t xml:space="preserve">1 = lowest risk</w:t>
      </w:r>
      <w:r>
        <w:t xml:space="preserve">. The table shows the rescaling direction.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Reclassification direction</w:t>
            </w:r>
          </w:p>
        </w:tc>
      </w:tr>
      <w:tr>
        <w:tc>
          <w:p>
            <w:pPr>
              <w:pStyle w:val="Compact"/>
              <w:jc w:val="left"/>
            </w:pPr>
            <w:r>
              <w:t xml:space="preserve">LST</w:t>
            </w:r>
          </w:p>
        </w:tc>
        <w:tc>
          <w:p>
            <w:pPr>
              <w:pStyle w:val="Compact"/>
              <w:jc w:val="left"/>
            </w:pPr>
            <w:r>
              <w:t xml:space="preserve">Low temps → 1; high temps → 5</w:t>
            </w:r>
          </w:p>
        </w:tc>
      </w:tr>
      <w:tr>
        <w:tc>
          <w:p>
            <w:pPr>
              <w:pStyle w:val="Compact"/>
              <w:jc w:val="left"/>
            </w:pPr>
            <w:r>
              <w:t xml:space="preserve">Tree canopy</w:t>
            </w:r>
          </w:p>
        </w:tc>
        <w:tc>
          <w:p>
            <w:pPr>
              <w:pStyle w:val="Compact"/>
              <w:jc w:val="left"/>
            </w:pPr>
            <w:r>
              <w:t xml:space="preserve">High canopy → 1; low canopy → 5</w:t>
            </w:r>
          </w:p>
        </w:tc>
      </w:tr>
      <w:tr>
        <w:tc>
          <w:p>
            <w:pPr>
              <w:pStyle w:val="Compact"/>
              <w:jc w:val="left"/>
            </w:pPr>
            <w:r>
              <w:t xml:space="preserve">Impervious surface</w:t>
            </w:r>
          </w:p>
        </w:tc>
        <w:tc>
          <w:p>
            <w:pPr>
              <w:pStyle w:val="Compact"/>
              <w:jc w:val="left"/>
            </w:pPr>
            <w:r>
              <w:t xml:space="preserve">Low impervious → 1; high impervious → 5</w:t>
            </w:r>
          </w:p>
        </w:tc>
      </w:tr>
      <w:tr>
        <w:tc>
          <w:p>
            <w:pPr>
              <w:pStyle w:val="Compact"/>
              <w:jc w:val="left"/>
            </w:pPr>
            <w:r>
              <w:t xml:space="preserve">SVI (</w:t>
            </w:r>
            <w:r>
              <w:rPr>
                <w:rStyle w:val="VerbatimChar"/>
              </w:rPr>
              <w:t xml:space="preserve">RPL_THEMES</w:t>
            </w:r>
            <w:r>
              <w:t xml:space="preserve">)</w:t>
            </w:r>
          </w:p>
        </w:tc>
        <w:tc>
          <w:p>
            <w:pPr>
              <w:pStyle w:val="Compact"/>
              <w:jc w:val="left"/>
            </w:pPr>
            <w:r>
              <w:t xml:space="preserve">Low rank → 1; high rank → 5</w:t>
            </w:r>
          </w:p>
        </w:tc>
      </w:tr>
    </w:tbl>
    <w:p>
      <w:pPr>
        <w:pStyle w:val="BodyText"/>
      </w:pPr>
      <w:r>
        <w:t xml:space="preserve">Use LST, tree canopy, and SVI as your three primary inputs unless your instructor specifies otherwise.</w:t>
      </w:r>
    </w:p>
    <w:p>
      <w:pPr>
        <w:pStyle w:val="Heading3"/>
      </w:pPr>
      <w:bookmarkStart w:id="29" w:name="a-reclassify-lst"/>
      <w:r>
        <w:t xml:space="preserve">3a — Reclassify LST</w:t>
      </w:r>
      <w:bookmarkEnd w:id="29"/>
    </w:p>
    <w:p>
      <w:pPr>
        <w:numPr>
          <w:ilvl w:val="0"/>
          <w:numId w:val="1006"/>
        </w:numPr>
      </w:pPr>
      <w:r>
        <w:t xml:space="preserve">Open the</w:t>
      </w:r>
      <w:r>
        <w:t xml:space="preserve"> </w:t>
      </w:r>
      <w:r>
        <w:rPr>
          <w:b/>
        </w:rPr>
        <w:t xml:space="preserve">Reclassify</w:t>
      </w:r>
      <w:r>
        <w:t xml:space="preserve"> </w:t>
      </w:r>
      <w:r>
        <w:t xml:space="preserve">tool (search the Geoprocessing pane, or:</w:t>
      </w:r>
      <w:r>
        <w:t xml:space="preserve"> </w:t>
      </w:r>
      <w:r>
        <w:rPr>
          <w:b/>
        </w:rPr>
        <w:t xml:space="preserve">Spatial Analyst</w:t>
      </w:r>
      <w:r>
        <w:t xml:space="preserve"> </w:t>
      </w:r>
      <w:r>
        <w:t xml:space="preserve">toolbox →</w:t>
      </w:r>
      <w:r>
        <w:t xml:space="preserve"> </w:t>
      </w:r>
      <w:r>
        <w:rPr>
          <w:b/>
        </w:rPr>
        <w:t xml:space="preserve">Reclass</w:t>
      </w:r>
      <w:r>
        <w:t xml:space="preserve"> </w:t>
      </w:r>
      <w:r>
        <w:t xml:space="preserve">→</w:t>
      </w:r>
      <w:r>
        <w:t xml:space="preserve"> </w:t>
      </w:r>
      <w:r>
        <w:rPr>
          <w:b/>
        </w:rPr>
        <w:t xml:space="preserve">Reclassify</w:t>
      </w:r>
      <w:r>
        <w:t xml:space="preserve">).</w:t>
      </w:r>
    </w:p>
    <w:p>
      <w:pPr>
        <w:numPr>
          <w:ilvl w:val="0"/>
          <w:numId w:val="1006"/>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Raster</w:t>
            </w:r>
          </w:p>
        </w:tc>
        <w:tc>
          <w:p>
            <w:pPr>
              <w:numPr>
                <w:ilvl w:val="0"/>
                <w:numId w:val="1000"/>
              </w:numPr>
              <w:pStyle w:val="Compact"/>
              <w:jc w:val="left"/>
            </w:pPr>
            <w:r>
              <w:rPr>
                <w:rStyle w:val="VerbatimChar"/>
              </w:rPr>
              <w:t xml:space="preserve">phl_LST_summer</w:t>
            </w:r>
          </w:p>
        </w:tc>
      </w:tr>
      <w:tr>
        <w:tc>
          <w:p>
            <w:pPr>
              <w:numPr>
                <w:ilvl w:val="0"/>
                <w:numId w:val="1000"/>
              </w:numPr>
              <w:pStyle w:val="Compact"/>
              <w:jc w:val="left"/>
            </w:pPr>
            <w:r>
              <w:t xml:space="preserve">Reclass Field</w:t>
            </w:r>
          </w:p>
        </w:tc>
        <w:tc>
          <w:p>
            <w:pPr>
              <w:numPr>
                <w:ilvl w:val="0"/>
                <w:numId w:val="1000"/>
              </w:numPr>
              <w:pStyle w:val="Compact"/>
              <w:jc w:val="left"/>
            </w:pPr>
            <w:r>
              <w:rPr>
                <w:rStyle w:val="VerbatimChar"/>
              </w:rPr>
              <w:t xml:space="preserve">Value</w:t>
            </w:r>
          </w:p>
        </w:tc>
      </w:tr>
      <w:tr>
        <w:tc>
          <w:p>
            <w:pPr>
              <w:numPr>
                <w:ilvl w:val="0"/>
                <w:numId w:val="1000"/>
              </w:numPr>
              <w:pStyle w:val="Compact"/>
              <w:jc w:val="left"/>
            </w:pPr>
            <w:r>
              <w:t xml:space="preserve">Output Raster</w:t>
            </w:r>
          </w:p>
        </w:tc>
        <w:tc>
          <w:p>
            <w:pPr>
              <w:numPr>
                <w:ilvl w:val="0"/>
                <w:numId w:val="1000"/>
              </w:numPr>
              <w:pStyle w:val="Compact"/>
              <w:jc w:val="left"/>
            </w:pPr>
            <w:r>
              <w:rPr>
                <w:rStyle w:val="VerbatimChar"/>
              </w:rPr>
              <w:t xml:space="preserve">lst_rcls</w:t>
            </w:r>
          </w:p>
        </w:tc>
      </w:tr>
    </w:tbl>
    <w:p>
      <w:pPr>
        <w:numPr>
          <w:ilvl w:val="0"/>
          <w:numId w:val="1006"/>
        </w:numPr>
      </w:pPr>
      <w:r>
        <w:t xml:space="preserve">In the</w:t>
      </w:r>
      <w:r>
        <w:t xml:space="preserve"> </w:t>
      </w:r>
      <w:r>
        <w:rPr>
          <w:b/>
        </w:rPr>
        <w:t xml:space="preserve">Reclassification</w:t>
      </w:r>
      <w:r>
        <w:t xml:space="preserve"> </w:t>
      </w:r>
      <w:r>
        <w:t xml:space="preserve">table, click</w:t>
      </w:r>
      <w:r>
        <w:t xml:space="preserve"> </w:t>
      </w:r>
      <w:r>
        <w:rPr>
          <w:b/>
        </w:rPr>
        <w:t xml:space="preserve">Classify</w:t>
      </w:r>
      <w:r>
        <w:t xml:space="preserve">. Set Method to</w:t>
      </w:r>
      <w:r>
        <w:t xml:space="preserve"> </w:t>
      </w:r>
      <w:r>
        <w:rPr>
          <w:b/>
        </w:rPr>
        <w:t xml:space="preserve">Quantile</w:t>
      </w:r>
      <w:r>
        <w:t xml:space="preserve">, Classes to</w:t>
      </w:r>
      <w:r>
        <w:t xml:space="preserve"> </w:t>
      </w:r>
      <w:r>
        <w:rPr>
          <w:b/>
        </w:rPr>
        <w:t xml:space="preserve">5</w:t>
      </w:r>
      <w:r>
        <w:t xml:space="preserve">. Click</w:t>
      </w:r>
      <w:r>
        <w:t xml:space="preserve"> </w:t>
      </w:r>
      <w:r>
        <w:rPr>
          <w:b/>
        </w:rPr>
        <w:t xml:space="preserve">OK</w:t>
      </w:r>
      <w:r>
        <w:t xml:space="preserve">. ArcGIS Pro fills the break values automatically.</w:t>
      </w:r>
    </w:p>
    <w:p>
      <w:pPr>
        <w:numPr>
          <w:ilvl w:val="0"/>
          <w:numId w:val="1006"/>
        </w:numPr>
      </w:pPr>
      <w:r>
        <w:t xml:space="preserve">Edit the</w:t>
      </w:r>
      <w:r>
        <w:t xml:space="preserve"> </w:t>
      </w:r>
      <w:r>
        <w:rPr>
          <w:b/>
        </w:rPr>
        <w:t xml:space="preserve">New Values</w:t>
      </w:r>
      <w:r>
        <w:t xml:space="preserve"> </w:t>
      </w:r>
      <w:r>
        <w:t xml:space="preserve">column so the coldest class = 1 and the hottest class = 5. (Quantile breaks assign equal counts of cells to each class, which is appropriate for a skewed LST distribution.)</w:t>
      </w:r>
    </w:p>
    <w:p>
      <w:pPr>
        <w:numPr>
          <w:ilvl w:val="0"/>
          <w:numId w:val="1006"/>
        </w:numPr>
      </w:pPr>
      <w:r>
        <w:t xml:space="preserve">Set</w:t>
      </w:r>
      <w:r>
        <w:t xml:space="preserve"> </w:t>
      </w:r>
      <w:r>
        <w:rPr>
          <w:b/>
        </w:rPr>
        <w:t xml:space="preserve">Change missing values to NoData</w:t>
      </w:r>
      <w:r>
        <w:t xml:space="preserve"> </w:t>
      </w:r>
      <w:r>
        <w:t xml:space="preserve">= checked.</w:t>
      </w:r>
    </w:p>
    <w:p>
      <w:pPr>
        <w:numPr>
          <w:ilvl w:val="0"/>
          <w:numId w:val="1006"/>
        </w:numPr>
      </w:pPr>
      <w:r>
        <w:t xml:space="preserve">Click</w:t>
      </w:r>
      <w:r>
        <w:t xml:space="preserve"> </w:t>
      </w:r>
      <w:r>
        <w:rPr>
          <w:b/>
        </w:rPr>
        <w:t xml:space="preserve">Run</w:t>
      </w:r>
      <w:r>
        <w:t xml:space="preserve">.</w:t>
      </w:r>
    </w:p>
    <w:p>
      <w:pPr>
        <w:pStyle w:val="FirstParagraph"/>
      </w:pPr>
      <w:r>
        <w:rPr>
          <w:i/>
        </w:rPr>
        <w:t xml:space="preserve">[Figure: Reclassify tool dialog for LST showing five quantile break values and new values 1 through 5]</w:t>
      </w:r>
    </w:p>
    <w:p>
      <w:pPr>
        <w:pStyle w:val="BlockText"/>
      </w:pPr>
      <w:r>
        <w:rPr>
          <w:b/>
        </w:rPr>
        <w:t xml:space="preserve">Warning:</w:t>
      </w:r>
      <w:r>
        <w:t xml:space="preserve"> </w:t>
      </w:r>
      <w:r>
        <w:t xml:space="preserve">Classification method (quantile, equal interval, natural breaks) changes which cells fall in class 5. Quantile is used here because it guarantees all five classes are populated even with a skewed LST distribution. Record your break values — they must appear in your methods write-up.</w:t>
      </w:r>
    </w:p>
    <w:p>
      <w:pPr>
        <w:pStyle w:val="Heading3"/>
      </w:pPr>
      <w:bookmarkStart w:id="30" w:name="b-reclassify-tree-canopy"/>
      <w:r>
        <w:t xml:space="preserve">3b — Reclassify tree canopy</w:t>
      </w:r>
      <w:bookmarkEnd w:id="30"/>
    </w:p>
    <w:p>
      <w:pPr>
        <w:numPr>
          <w:ilvl w:val="0"/>
          <w:numId w:val="1007"/>
        </w:numPr>
        <w:pStyle w:val="Compact"/>
      </w:pPr>
      <w:r>
        <w:t xml:space="preserve">Open</w:t>
      </w:r>
      <w:r>
        <w:t xml:space="preserve"> </w:t>
      </w:r>
      <w:r>
        <w:rPr>
          <w:b/>
        </w:rPr>
        <w:t xml:space="preserve">Reclassify</w:t>
      </w:r>
      <w:r>
        <w:t xml:space="preserve"> </w:t>
      </w:r>
      <w:r>
        <w:t xml:space="preserve">again.</w:t>
      </w:r>
    </w:p>
    <w:p>
      <w:pPr>
        <w:numPr>
          <w:ilvl w:val="0"/>
          <w:numId w:val="1007"/>
        </w:numPr>
        <w:pStyle w:val="Compact"/>
      </w:pPr>
      <w:r>
        <w:t xml:space="preserve">Input Raster:</w:t>
      </w:r>
      <w:r>
        <w:t xml:space="preserve"> </w:t>
      </w:r>
      <w:r>
        <w:rPr>
          <w:rStyle w:val="VerbatimChar"/>
        </w:rPr>
        <w:t xml:space="preserve">phl_treecanopy</w:t>
      </w:r>
      <w:r>
        <w:t xml:space="preserve">. Output:</w:t>
      </w:r>
      <w:r>
        <w:t xml:space="preserve"> </w:t>
      </w:r>
      <w:r>
        <w:rPr>
          <w:rStyle w:val="VerbatimChar"/>
        </w:rPr>
        <w:t xml:space="preserve">canopy_rcls</w:t>
      </w:r>
      <w:r>
        <w:t xml:space="preserve">.</w:t>
      </w:r>
    </w:p>
    <w:p>
      <w:pPr>
        <w:numPr>
          <w:ilvl w:val="0"/>
          <w:numId w:val="1007"/>
        </w:numPr>
        <w:pStyle w:val="Compact"/>
      </w:pPr>
      <w:r>
        <w:t xml:space="preserve">Click</w:t>
      </w:r>
      <w:r>
        <w:t xml:space="preserve"> </w:t>
      </w:r>
      <w:r>
        <w:rPr>
          <w:b/>
        </w:rPr>
        <w:t xml:space="preserve">Classify</w:t>
      </w:r>
      <w:r>
        <w:t xml:space="preserve">, set Quantile / 5 classes, click</w:t>
      </w:r>
      <w:r>
        <w:t xml:space="preserve"> </w:t>
      </w:r>
      <w:r>
        <w:rPr>
          <w:b/>
        </w:rPr>
        <w:t xml:space="preserve">OK</w:t>
      </w:r>
      <w:r>
        <w:t xml:space="preserve">.</w:t>
      </w:r>
    </w:p>
    <w:p>
      <w:pPr>
        <w:numPr>
          <w:ilvl w:val="0"/>
          <w:numId w:val="1007"/>
        </w:numPr>
        <w:pStyle w:val="Compact"/>
      </w:pPr>
      <w:r>
        <w:rPr>
          <w:b/>
        </w:rPr>
        <w:t xml:space="preserve">Reverse the new values</w:t>
      </w:r>
      <w:r>
        <w:t xml:space="preserve">: the class with the highest canopy percentage gets new value</w:t>
      </w:r>
      <w:r>
        <w:t xml:space="preserve"> </w:t>
      </w:r>
      <w:r>
        <w:rPr>
          <w:b/>
        </w:rPr>
        <w:t xml:space="preserve">1</w:t>
      </w:r>
      <w:r>
        <w:t xml:space="preserve"> </w:t>
      </w:r>
      <w:r>
        <w:t xml:space="preserve">(low risk); the class with the lowest canopy gets new value</w:t>
      </w:r>
      <w:r>
        <w:t xml:space="preserve"> </w:t>
      </w:r>
      <w:r>
        <w:rPr>
          <w:b/>
        </w:rPr>
        <w:t xml:space="preserve">5</w:t>
      </w:r>
      <w:r>
        <w:t xml:space="preserve"> </w:t>
      </w:r>
      <w:r>
        <w:t xml:space="preserve">(high risk). This is the opposite of the LST coding.</w:t>
      </w:r>
    </w:p>
    <w:p>
      <w:pPr>
        <w:numPr>
          <w:ilvl w:val="0"/>
          <w:numId w:val="1007"/>
        </w:numPr>
        <w:pStyle w:val="Compact"/>
      </w:pPr>
      <w:r>
        <w:t xml:space="preserve">Click</w:t>
      </w:r>
      <w:r>
        <w:t xml:space="preserve"> </w:t>
      </w:r>
      <w:r>
        <w:rPr>
          <w:b/>
        </w:rPr>
        <w:t xml:space="preserve">Run</w:t>
      </w:r>
      <w:r>
        <w:t xml:space="preserve">.</w:t>
      </w:r>
    </w:p>
    <w:p>
      <w:pPr>
        <w:pStyle w:val="Heading3"/>
      </w:pPr>
      <w:bookmarkStart w:id="31" w:name="c-reclassify-svi"/>
      <w:r>
        <w:t xml:space="preserve">3c — Reclassify SVI</w:t>
      </w:r>
      <w:bookmarkEnd w:id="31"/>
    </w:p>
    <w:p>
      <w:pPr>
        <w:numPr>
          <w:ilvl w:val="0"/>
          <w:numId w:val="1008"/>
        </w:numPr>
        <w:pStyle w:val="Compact"/>
      </w:pPr>
      <w:r>
        <w:t xml:space="preserve">Open</w:t>
      </w:r>
      <w:r>
        <w:t xml:space="preserve"> </w:t>
      </w:r>
      <w:r>
        <w:rPr>
          <w:b/>
        </w:rPr>
        <w:t xml:space="preserve">Reclassify</w:t>
      </w:r>
      <w:r>
        <w:t xml:space="preserve"> </w:t>
      </w:r>
      <w:r>
        <w:t xml:space="preserve">again.</w:t>
      </w:r>
    </w:p>
    <w:p>
      <w:pPr>
        <w:numPr>
          <w:ilvl w:val="0"/>
          <w:numId w:val="1008"/>
        </w:numPr>
        <w:pStyle w:val="Compact"/>
      </w:pPr>
      <w:r>
        <w:t xml:space="preserve">Input Raster:</w:t>
      </w:r>
      <w:r>
        <w:t xml:space="preserve"> </w:t>
      </w:r>
      <w:r>
        <w:rPr>
          <w:rStyle w:val="VerbatimChar"/>
        </w:rPr>
        <w:t xml:space="preserve">phl_SVI_raster</w:t>
      </w:r>
      <w:r>
        <w:t xml:space="preserve">. Output:</w:t>
      </w:r>
      <w:r>
        <w:t xml:space="preserve"> </w:t>
      </w:r>
      <w:r>
        <w:rPr>
          <w:rStyle w:val="VerbatimChar"/>
        </w:rPr>
        <w:t xml:space="preserve">svi_rcls</w:t>
      </w:r>
      <w:r>
        <w:t xml:space="preserve">.</w:t>
      </w:r>
    </w:p>
    <w:p>
      <w:pPr>
        <w:numPr>
          <w:ilvl w:val="0"/>
          <w:numId w:val="1008"/>
        </w:numPr>
        <w:pStyle w:val="Compact"/>
      </w:pPr>
      <w:r>
        <w:t xml:space="preserve">SVI values range 0–1. Set manual breaks: 0–0.20 → 1, 0.20–0.40 → 2, 0.40–0.60 → 3, 0.60–0.80 → 4, 0.80–1.0 → 5. (Equal-interval breaks are appropriate here because the SVI percentile rank is already uniformly distributed by design.)</w:t>
      </w:r>
    </w:p>
    <w:p>
      <w:pPr>
        <w:numPr>
          <w:ilvl w:val="0"/>
          <w:numId w:val="1008"/>
        </w:numPr>
        <w:pStyle w:val="Compact"/>
      </w:pPr>
      <w:r>
        <w:t xml:space="preserve">Click</w:t>
      </w:r>
      <w:r>
        <w:t xml:space="preserve"> </w:t>
      </w:r>
      <w:r>
        <w:rPr>
          <w:b/>
        </w:rPr>
        <w:t xml:space="preserve">Run</w:t>
      </w:r>
      <w:r>
        <w:t xml:space="preserve">.</w:t>
      </w:r>
    </w:p>
    <w:p>
      <w:pPr>
        <w:pStyle w:val="BlockText"/>
      </w:pPr>
      <w:r>
        <w:rPr>
          <w:b/>
        </w:rPr>
        <w:t xml:space="preserve">Public health note:</w:t>
      </w:r>
      <w:r>
        <w:t xml:space="preserve"> </w:t>
      </w:r>
      <w:r>
        <w:t xml:space="preserve">Choosing the break values for each input is a value judgment that determines which tracts end up in the</w:t>
      </w:r>
      <w:r>
        <w:t xml:space="preserve"> </w:t>
      </w:r>
      <w:r>
        <w:t xml:space="preserve">“</w:t>
      </w:r>
      <w:r>
        <w:t xml:space="preserve">high risk</w:t>
      </w:r>
      <w:r>
        <w:t xml:space="preserve">”</w:t>
      </w:r>
      <w:r>
        <w:t xml:space="preserve"> </w:t>
      </w:r>
      <w:r>
        <w:t xml:space="preserve">category. Equal-interval breaks for SVI and quantile breaks for LST are defensible choices, but they are choices. A sensitivity analysis (Part 5) shows how much the final map changes when you alter the weights — an equally important check.</w:t>
      </w:r>
    </w:p>
    <w:p>
      <w:r>
        <w:pict>
          <v:rect style="width:0;height:1.5pt" o:hralign="center" o:hrstd="t" o:hr="t"/>
        </w:pict>
      </w:r>
    </w:p>
    <w:p>
      <w:pPr>
        <w:pStyle w:val="Heading2"/>
      </w:pPr>
      <w:bookmarkStart w:id="32" w:name="X036ed3edd13dad6be2a77df787308a6e88a3baa"/>
      <w:r>
        <w:t xml:space="preserve">Part 4: Build the composite index with Weighted Overlay</w:t>
      </w:r>
      <w:bookmarkEnd w:id="32"/>
    </w:p>
    <w:p>
      <w:pPr>
        <w:pStyle w:val="FirstParagraph"/>
      </w:pPr>
      <w:r>
        <w:t xml:space="preserve">Weighted Overlay combines the reclassified inputs into a single composite score, applying a percentage weight to each layer. Weights must sum to 100.</w:t>
      </w:r>
    </w:p>
    <w:p>
      <w:pPr>
        <w:pStyle w:val="BodyText"/>
      </w:pPr>
      <w:r>
        <w:rPr>
          <w:b/>
        </w:rPr>
        <w:t xml:space="preserve">Proposed weights (primary run):</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Weight</w:t>
            </w:r>
          </w:p>
        </w:tc>
      </w:tr>
      <w:tr>
        <w:tc>
          <w:p>
            <w:pPr>
              <w:pStyle w:val="Compact"/>
              <w:jc w:val="left"/>
            </w:pPr>
            <w:r>
              <w:t xml:space="preserve">LST (</w:t>
            </w:r>
            <w:r>
              <w:rPr>
                <w:rStyle w:val="VerbatimChar"/>
              </w:rPr>
              <w:t xml:space="preserve">lst_rcls</w:t>
            </w:r>
            <w:r>
              <w:t xml:space="preserve">)</w:t>
            </w:r>
          </w:p>
        </w:tc>
        <w:tc>
          <w:p>
            <w:pPr>
              <w:pStyle w:val="Compact"/>
              <w:jc w:val="left"/>
            </w:pPr>
            <w:r>
              <w:t xml:space="preserve">40%</w:t>
            </w:r>
          </w:p>
        </w:tc>
      </w:tr>
      <w:tr>
        <w:tc>
          <w:p>
            <w:pPr>
              <w:pStyle w:val="Compact"/>
              <w:jc w:val="left"/>
            </w:pPr>
            <w:r>
              <w:t xml:space="preserve">Tree canopy (</w:t>
            </w:r>
            <w:r>
              <w:rPr>
                <w:rStyle w:val="VerbatimChar"/>
              </w:rPr>
              <w:t xml:space="preserve">canopy_rcls</w:t>
            </w:r>
            <w:r>
              <w:t xml:space="preserve">)</w:t>
            </w:r>
          </w:p>
        </w:tc>
        <w:tc>
          <w:p>
            <w:pPr>
              <w:pStyle w:val="Compact"/>
              <w:jc w:val="left"/>
            </w:pPr>
            <w:r>
              <w:t xml:space="preserve">30%</w:t>
            </w:r>
          </w:p>
        </w:tc>
      </w:tr>
      <w:tr>
        <w:tc>
          <w:p>
            <w:pPr>
              <w:pStyle w:val="Compact"/>
              <w:jc w:val="left"/>
            </w:pPr>
            <w:r>
              <w:t xml:space="preserve">SVI (</w:t>
            </w:r>
            <w:r>
              <w:rPr>
                <w:rStyle w:val="VerbatimChar"/>
              </w:rPr>
              <w:t xml:space="preserve">svi_rcls</w:t>
            </w:r>
            <w:r>
              <w:t xml:space="preserve">)</w:t>
            </w:r>
          </w:p>
        </w:tc>
        <w:tc>
          <w:p>
            <w:pPr>
              <w:pStyle w:val="Compact"/>
              <w:jc w:val="left"/>
            </w:pPr>
            <w:r>
              <w:t xml:space="preserve">30%</w:t>
            </w:r>
          </w:p>
        </w:tc>
      </w:tr>
    </w:tbl>
    <w:p>
      <w:pPr>
        <w:pStyle w:val="BodyText"/>
      </w:pPr>
      <w:r>
        <w:t xml:space="preserve">LST is the most direct driver of heat exposure; canopy and social vulnerability are important modifiers. These weights are a deliberate analytic choice — document them.</w:t>
      </w:r>
    </w:p>
    <w:p>
      <w:pPr>
        <w:numPr>
          <w:ilvl w:val="0"/>
          <w:numId w:val="1009"/>
        </w:numPr>
        <w:pStyle w:val="Compact"/>
      </w:pPr>
      <w:r>
        <w:t xml:space="preserve">Open the</w:t>
      </w:r>
      <w:r>
        <w:t xml:space="preserve"> </w:t>
      </w:r>
      <w:r>
        <w:rPr>
          <w:b/>
        </w:rPr>
        <w:t xml:space="preserve">Weighted Overlay</w:t>
      </w:r>
      <w:r>
        <w:t xml:space="preserve"> </w:t>
      </w:r>
      <w:r>
        <w:t xml:space="preserve">tool (Spatial Analyst toolbox →</w:t>
      </w:r>
      <w:r>
        <w:t xml:space="preserve"> </w:t>
      </w:r>
      <w:r>
        <w:rPr>
          <w:b/>
        </w:rPr>
        <w:t xml:space="preserve">Overlay</w:t>
      </w:r>
      <w:r>
        <w:t xml:space="preserve"> </w:t>
      </w:r>
      <w:r>
        <w:t xml:space="preserve">→</w:t>
      </w:r>
      <w:r>
        <w:t xml:space="preserve"> </w:t>
      </w:r>
      <w:r>
        <w:rPr>
          <w:b/>
        </w:rPr>
        <w:t xml:space="preserve">Weighted Overlay</w:t>
      </w:r>
      <w:r>
        <w:t xml:space="preserve">, or search the Geoprocessing pane).</w:t>
      </w:r>
    </w:p>
    <w:p>
      <w:pPr>
        <w:numPr>
          <w:ilvl w:val="0"/>
          <w:numId w:val="1009"/>
        </w:numPr>
        <w:pStyle w:val="Compact"/>
      </w:pPr>
      <w:r>
        <w:t xml:space="preserve">In the</w:t>
      </w:r>
      <w:r>
        <w:t xml:space="preserve"> </w:t>
      </w:r>
      <w:r>
        <w:rPr>
          <w:b/>
        </w:rPr>
        <w:t xml:space="preserve">Weighted Overlay Table</w:t>
      </w:r>
      <w:r>
        <w:t xml:space="preserve">:</w:t>
      </w:r>
    </w:p>
    <w:p>
      <w:pPr>
        <w:numPr>
          <w:ilvl w:val="1"/>
          <w:numId w:val="1010"/>
        </w:numPr>
        <w:pStyle w:val="Compact"/>
      </w:pPr>
      <w:r>
        <w:t xml:space="preserve">Click the folder icon to add</w:t>
      </w:r>
      <w:r>
        <w:t xml:space="preserve"> </w:t>
      </w:r>
      <w:r>
        <w:rPr>
          <w:rStyle w:val="VerbatimChar"/>
        </w:rPr>
        <w:t xml:space="preserve">lst_rcls</w:t>
      </w:r>
      <w:r>
        <w:t xml:space="preserve">. Set</w:t>
      </w:r>
      <w:r>
        <w:t xml:space="preserve"> </w:t>
      </w:r>
      <w:r>
        <w:rPr>
          <w:b/>
        </w:rPr>
        <w:t xml:space="preserve">% Influence</w:t>
      </w:r>
      <w:r>
        <w:t xml:space="preserve"> </w:t>
      </w:r>
      <w:r>
        <w:t xml:space="preserve">to</w:t>
      </w:r>
      <w:r>
        <w:t xml:space="preserve"> </w:t>
      </w:r>
      <w:r>
        <w:rPr>
          <w:rStyle w:val="VerbatimChar"/>
        </w:rPr>
        <w:t xml:space="preserve">40</w:t>
      </w:r>
      <w:r>
        <w:t xml:space="preserve">. Confirm the</w:t>
      </w:r>
      <w:r>
        <w:t xml:space="preserve"> </w:t>
      </w:r>
      <w:r>
        <w:rPr>
          <w:b/>
        </w:rPr>
        <w:t xml:space="preserve">Scale Value</w:t>
      </w:r>
      <w:r>
        <w:t xml:space="preserve"> </w:t>
      </w:r>
      <w:r>
        <w:t xml:space="preserve">range shows 1–5.</w:t>
      </w:r>
    </w:p>
    <w:p>
      <w:pPr>
        <w:numPr>
          <w:ilvl w:val="1"/>
          <w:numId w:val="1010"/>
        </w:numPr>
        <w:pStyle w:val="Compact"/>
      </w:pPr>
      <w:r>
        <w:t xml:space="preserve">Add</w:t>
      </w:r>
      <w:r>
        <w:t xml:space="preserve"> </w:t>
      </w:r>
      <w:r>
        <w:rPr>
          <w:rStyle w:val="VerbatimChar"/>
        </w:rPr>
        <w:t xml:space="preserve">canopy_rcls</w:t>
      </w:r>
      <w:r>
        <w:t xml:space="preserve">. Set</w:t>
      </w:r>
      <w:r>
        <w:t xml:space="preserve"> </w:t>
      </w:r>
      <w:r>
        <w:rPr>
          <w:b/>
        </w:rPr>
        <w:t xml:space="preserve">% Influence</w:t>
      </w:r>
      <w:r>
        <w:t xml:space="preserve"> </w:t>
      </w:r>
      <w:r>
        <w:t xml:space="preserve">to</w:t>
      </w:r>
      <w:r>
        <w:t xml:space="preserve"> </w:t>
      </w:r>
      <w:r>
        <w:rPr>
          <w:rStyle w:val="VerbatimChar"/>
        </w:rPr>
        <w:t xml:space="preserve">30</w:t>
      </w:r>
      <w:r>
        <w:t xml:space="preserve">.</w:t>
      </w:r>
    </w:p>
    <w:p>
      <w:pPr>
        <w:numPr>
          <w:ilvl w:val="1"/>
          <w:numId w:val="1010"/>
        </w:numPr>
        <w:pStyle w:val="Compact"/>
      </w:pPr>
      <w:r>
        <w:t xml:space="preserve">Add</w:t>
      </w:r>
      <w:r>
        <w:t xml:space="preserve"> </w:t>
      </w:r>
      <w:r>
        <w:rPr>
          <w:rStyle w:val="VerbatimChar"/>
        </w:rPr>
        <w:t xml:space="preserve">svi_rcls</w:t>
      </w:r>
      <w:r>
        <w:t xml:space="preserve">. Set</w:t>
      </w:r>
      <w:r>
        <w:t xml:space="preserve"> </w:t>
      </w:r>
      <w:r>
        <w:rPr>
          <w:b/>
        </w:rPr>
        <w:t xml:space="preserve">% Influence</w:t>
      </w:r>
      <w:r>
        <w:t xml:space="preserve"> </w:t>
      </w:r>
      <w:r>
        <w:t xml:space="preserve">to</w:t>
      </w:r>
      <w:r>
        <w:t xml:space="preserve"> </w:t>
      </w:r>
      <w:r>
        <w:rPr>
          <w:rStyle w:val="VerbatimChar"/>
        </w:rPr>
        <w:t xml:space="preserve">30</w:t>
      </w:r>
      <w:r>
        <w:t xml:space="preserve">.</w:t>
      </w:r>
    </w:p>
    <w:p>
      <w:pPr>
        <w:numPr>
          <w:ilvl w:val="0"/>
          <w:numId w:val="1009"/>
        </w:numPr>
        <w:pStyle w:val="Compact"/>
      </w:pPr>
      <w:r>
        <w:t xml:space="preserve">Set</w:t>
      </w:r>
      <w:r>
        <w:t xml:space="preserve"> </w:t>
      </w:r>
      <w:r>
        <w:rPr>
          <w:b/>
        </w:rPr>
        <w:t xml:space="preserve">Evaluation Scale</w:t>
      </w:r>
      <w:r>
        <w:t xml:space="preserve"> </w:t>
      </w:r>
      <w:r>
        <w:t xml:space="preserve">to</w:t>
      </w:r>
      <w:r>
        <w:t xml:space="preserve"> </w:t>
      </w:r>
      <w:r>
        <w:rPr>
          <w:b/>
        </w:rPr>
        <w:t xml:space="preserve">1 to 5 by 1</w:t>
      </w:r>
      <w:r>
        <w:t xml:space="preserve">.</w:t>
      </w:r>
    </w:p>
    <w:p>
      <w:pPr>
        <w:numPr>
          <w:ilvl w:val="0"/>
          <w:numId w:val="1009"/>
        </w:numPr>
        <w:pStyle w:val="Compact"/>
      </w:pPr>
      <w:r>
        <w:t xml:space="preserve">Output Raster:</w:t>
      </w:r>
      <w:r>
        <w:t xml:space="preserve"> </w:t>
      </w:r>
      <w:r>
        <w:rPr>
          <w:rStyle w:val="VerbatimChar"/>
        </w:rPr>
        <w:t xml:space="preserve">heat_vuln_primary</w:t>
      </w:r>
      <w:r>
        <w:t xml:space="preserve"> </w:t>
      </w:r>
      <w:r>
        <w:t xml:space="preserve">(save to geodatabase).</w:t>
      </w:r>
    </w:p>
    <w:p>
      <w:pPr>
        <w:numPr>
          <w:ilvl w:val="0"/>
          <w:numId w:val="1009"/>
        </w:numPr>
        <w:pStyle w:val="Compact"/>
      </w:pPr>
      <w:r>
        <w:t xml:space="preserve">Click</w:t>
      </w:r>
      <w:r>
        <w:t xml:space="preserve"> </w:t>
      </w:r>
      <w:r>
        <w:rPr>
          <w:b/>
        </w:rPr>
        <w:t xml:space="preserve">Run</w:t>
      </w:r>
      <w:r>
        <w:t xml:space="preserve">.</w:t>
      </w:r>
    </w:p>
    <w:p>
      <w:pPr>
        <w:pStyle w:val="FirstParagraph"/>
      </w:pPr>
      <w:r>
        <w:rPr>
          <w:i/>
        </w:rPr>
        <w:t xml:space="preserve">[Figure: Weighted Overlay table showing three input rasters, their scale values 1–5, and percentage influences 40/30/30]</w:t>
      </w:r>
    </w:p>
    <w:p>
      <w:pPr>
        <w:pStyle w:val="BlockText"/>
      </w:pPr>
      <w:r>
        <w:rPr>
          <w:b/>
        </w:rPr>
        <w:t xml:space="preserve">Warning:</w:t>
      </w:r>
      <w:r>
        <w:t xml:space="preserve"> </w:t>
      </w:r>
      <w:r>
        <w:t xml:space="preserve">Weighted Overlay requires that all inputs use the same evaluation scale (1–5 here) and the same spatial reference. If you see an error about scale values or NoData, confirm your reclassified rasters all have values in the 1–5 range and that NoData cells are consistent across layers.</w:t>
      </w:r>
    </w:p>
    <w:p>
      <w:r>
        <w:pict>
          <v:rect style="width:0;height:1.5pt" o:hralign="center" o:hrstd="t" o:hr="t"/>
        </w:pict>
      </w:r>
    </w:p>
    <w:p>
      <w:pPr>
        <w:pStyle w:val="Heading2"/>
      </w:pPr>
      <w:bookmarkStart w:id="33" w:name="Xc761de9ced8a0442a345ffe574d235a403ef953"/>
      <w:r>
        <w:t xml:space="preserve">Part 5: Sensitivity check with alternative weights</w:t>
      </w:r>
      <w:bookmarkEnd w:id="33"/>
    </w:p>
    <w:p>
      <w:pPr>
        <w:pStyle w:val="FirstParagraph"/>
      </w:pPr>
      <w:r>
        <w:t xml:space="preserve">Any single weighting scheme is a choice. Running a second scenario shows how sensitive the map is to that choice.</w:t>
      </w:r>
    </w:p>
    <w:p>
      <w:pPr>
        <w:pStyle w:val="BodyText"/>
      </w:pPr>
      <w:r>
        <w:rPr>
          <w:b/>
        </w:rPr>
        <w:t xml:space="preserve">Alternative weights (sensitivity run):</w:t>
      </w:r>
      <w:r>
        <w:t xml:space="preserve"> </w:t>
      </w:r>
      <w:r>
        <w:t xml:space="preserve">LST 20%, tree canopy 20%, SVI 60%. This scenario treats social vulnerability as the dominant driver, consistent with a social determinants framework.</w:t>
      </w:r>
    </w:p>
    <w:p>
      <w:pPr>
        <w:numPr>
          <w:ilvl w:val="0"/>
          <w:numId w:val="1011"/>
        </w:numPr>
        <w:pStyle w:val="Compact"/>
      </w:pPr>
      <w:r>
        <w:t xml:space="preserve">Run</w:t>
      </w:r>
      <w:r>
        <w:t xml:space="preserve"> </w:t>
      </w:r>
      <w:r>
        <w:rPr>
          <w:b/>
        </w:rPr>
        <w:t xml:space="preserve">Weighted Overlay</w:t>
      </w:r>
      <w:r>
        <w:t xml:space="preserve"> </w:t>
      </w:r>
      <w:r>
        <w:t xml:space="preserve">again with the alternative weights. Output:</w:t>
      </w:r>
      <w:r>
        <w:t xml:space="preserve"> </w:t>
      </w:r>
      <w:r>
        <w:rPr>
          <w:rStyle w:val="VerbatimChar"/>
        </w:rPr>
        <w:t xml:space="preserve">heat_vuln_sensitivity</w:t>
      </w:r>
      <w:r>
        <w:t xml:space="preserve">.</w:t>
      </w:r>
    </w:p>
    <w:p>
      <w:pPr>
        <w:numPr>
          <w:ilvl w:val="0"/>
          <w:numId w:val="1011"/>
        </w:numPr>
        <w:pStyle w:val="Compact"/>
      </w:pPr>
      <w:r>
        <w:t xml:space="preserve">Add both outputs to your map. Use the same 1–5 color ramp for both.</w:t>
      </w:r>
    </w:p>
    <w:p>
      <w:pPr>
        <w:numPr>
          <w:ilvl w:val="0"/>
          <w:numId w:val="1011"/>
        </w:numPr>
        <w:pStyle w:val="Compact"/>
      </w:pPr>
      <w:r>
        <w:t xml:space="preserve">Visually compare: which neighborhoods move into or out of the highest-risk class (5) when you shift weight toward SVI?</w:t>
      </w:r>
    </w:p>
    <w:p>
      <w:pPr>
        <w:pStyle w:val="BlockText"/>
      </w:pPr>
      <w:r>
        <w:rPr>
          <w:b/>
        </w:rPr>
        <w:t xml:space="preserve">Public health note:</w:t>
      </w:r>
      <w:r>
        <w:t xml:space="preserve"> </w:t>
      </w:r>
      <w:r>
        <w:t xml:space="preserve">If both runs identify the same high-risk tracts, your index is robust to weight choice. If they diverge substantially, justify your primary weights with published evidence or present both maps and acknowledge the uncertainty. Presenting only the result that confirms a preferred conclusion is analytic bias.</w:t>
      </w:r>
    </w:p>
    <w:p>
      <w:r>
        <w:pict>
          <v:rect style="width:0;height:1.5pt" o:hralign="center" o:hrstd="t" o:hr="t"/>
        </w:pict>
      </w:r>
    </w:p>
    <w:p>
      <w:pPr>
        <w:pStyle w:val="Heading2"/>
      </w:pPr>
      <w:bookmarkStart w:id="34" w:name="X1695f6ba7962983e3b9619dd43fc36040a26439"/>
      <w:r>
        <w:t xml:space="preserve">Part 6: Classify and symbolize the composite</w:t>
      </w:r>
      <w:bookmarkEnd w:id="34"/>
    </w:p>
    <w:p>
      <w:pPr>
        <w:numPr>
          <w:ilvl w:val="0"/>
          <w:numId w:val="1012"/>
        </w:numPr>
        <w:pStyle w:val="Compact"/>
      </w:pPr>
      <w:r>
        <w:t xml:space="preserve">In the</w:t>
      </w:r>
      <w:r>
        <w:t xml:space="preserve"> </w:t>
      </w:r>
      <w:r>
        <w:rPr>
          <w:b/>
        </w:rPr>
        <w:t xml:space="preserve">Contents</w:t>
      </w:r>
      <w:r>
        <w:t xml:space="preserve"> </w:t>
      </w:r>
      <w:r>
        <w:t xml:space="preserve">pane, right-click</w:t>
      </w:r>
      <w:r>
        <w:t xml:space="preserve"> </w:t>
      </w:r>
      <w:r>
        <w:rPr>
          <w:rStyle w:val="VerbatimChar"/>
        </w:rPr>
        <w:t xml:space="preserve">heat_vuln_primary</w:t>
      </w:r>
      <w:r>
        <w:t xml:space="preserve"> </w:t>
      </w:r>
      <w:r>
        <w:t xml:space="preserve">→</w:t>
      </w:r>
      <w:r>
        <w:t xml:space="preserve"> </w:t>
      </w:r>
      <w:r>
        <w:rPr>
          <w:b/>
        </w:rPr>
        <w:t xml:space="preserve">Symbology</w:t>
      </w:r>
      <w:r>
        <w:t xml:space="preserve">.</w:t>
      </w:r>
    </w:p>
    <w:p>
      <w:pPr>
        <w:numPr>
          <w:ilvl w:val="0"/>
          <w:numId w:val="1012"/>
        </w:numPr>
        <w:pStyle w:val="Compact"/>
      </w:pPr>
      <w:r>
        <w:t xml:space="preserve">In the</w:t>
      </w:r>
      <w:r>
        <w:t xml:space="preserve"> </w:t>
      </w:r>
      <w:r>
        <w:rPr>
          <w:b/>
        </w:rPr>
        <w:t xml:space="preserve">Symbology</w:t>
      </w:r>
      <w:r>
        <w:t xml:space="preserve"> </w:t>
      </w:r>
      <w:r>
        <w:t xml:space="preserve">pane, set</w:t>
      </w:r>
      <w:r>
        <w:t xml:space="preserve"> </w:t>
      </w:r>
      <w:r>
        <w:rPr>
          <w:b/>
        </w:rPr>
        <w:t xml:space="preserve">Primary Symbology</w:t>
      </w:r>
      <w:r>
        <w:t xml:space="preserve"> </w:t>
      </w:r>
      <w:r>
        <w:t xml:space="preserve">to</w:t>
      </w:r>
      <w:r>
        <w:t xml:space="preserve"> </w:t>
      </w:r>
      <w:r>
        <w:rPr>
          <w:b/>
        </w:rPr>
        <w:t xml:space="preserve">Classify</w:t>
      </w:r>
      <w:r>
        <w:t xml:space="preserve">.</w:t>
      </w:r>
    </w:p>
    <w:p>
      <w:pPr>
        <w:numPr>
          <w:ilvl w:val="0"/>
          <w:numId w:val="1012"/>
        </w:numPr>
        <w:pStyle w:val="Compact"/>
      </w:pPr>
      <w:r>
        <w:t xml:space="preserve">Set</w:t>
      </w:r>
      <w:r>
        <w:t xml:space="preserve"> </w:t>
      </w:r>
      <w:r>
        <w:rPr>
          <w:b/>
        </w:rPr>
        <w:t xml:space="preserve">Method</w:t>
      </w:r>
      <w:r>
        <w:t xml:space="preserve"> </w:t>
      </w:r>
      <w:r>
        <w:t xml:space="preserve">to</w:t>
      </w:r>
      <w:r>
        <w:t xml:space="preserve"> </w:t>
      </w:r>
      <w:r>
        <w:rPr>
          <w:b/>
        </w:rPr>
        <w:t xml:space="preserve">Equal Interval</w:t>
      </w:r>
      <w:r>
        <w:t xml:space="preserve"> </w:t>
      </w:r>
      <w:r>
        <w:t xml:space="preserve">and</w:t>
      </w:r>
      <w:r>
        <w:t xml:space="preserve"> </w:t>
      </w:r>
      <w:r>
        <w:rPr>
          <w:b/>
        </w:rPr>
        <w:t xml:space="preserve">Classes</w:t>
      </w:r>
      <w:r>
        <w:t xml:space="preserve"> </w:t>
      </w:r>
      <w:r>
        <w:t xml:space="preserve">to</w:t>
      </w:r>
      <w:r>
        <w:t xml:space="preserve"> </w:t>
      </w:r>
      <w:r>
        <w:rPr>
          <w:b/>
        </w:rPr>
        <w:t xml:space="preserve">5</w:t>
      </w:r>
      <w:r>
        <w:t xml:space="preserve">. (The composite already ranges 1–5 in whole integers; equal interval produces five classes of exactly one unit each.)</w:t>
      </w:r>
    </w:p>
    <w:p>
      <w:pPr>
        <w:numPr>
          <w:ilvl w:val="0"/>
          <w:numId w:val="1012"/>
        </w:numPr>
        <w:pStyle w:val="Compact"/>
      </w:pPr>
      <w:r>
        <w:t xml:space="preserve">Under</w:t>
      </w:r>
      <w:r>
        <w:t xml:space="preserve"> </w:t>
      </w:r>
      <w:r>
        <w:rPr>
          <w:b/>
        </w:rPr>
        <w:t xml:space="preserve">Color scheme</w:t>
      </w:r>
      <w:r>
        <w:t xml:space="preserve">, open the dropdown and search for</w:t>
      </w:r>
      <w:r>
        <w:t xml:space="preserve"> </w:t>
      </w:r>
      <w:r>
        <w:rPr>
          <w:b/>
        </w:rPr>
        <w:t xml:space="preserve">Viridis</w:t>
      </w:r>
      <w:r>
        <w:t xml:space="preserve"> </w:t>
      </w:r>
      <w:r>
        <w:t xml:space="preserve">or</w:t>
      </w:r>
      <w:r>
        <w:t xml:space="preserve"> </w:t>
      </w:r>
      <w:r>
        <w:rPr>
          <w:b/>
        </w:rPr>
        <w:t xml:space="preserve">Yellow-Orange-Red</w:t>
      </w:r>
      <w:r>
        <w:t xml:space="preserve"> </w:t>
      </w:r>
      <w:r>
        <w:t xml:space="preserve">(ColorBrewer sequential). Apply the scheme so that low values (1 = low risk) appear in light yellow and high values (5 = high risk) appear in dark red or purple.</w:t>
      </w:r>
    </w:p>
    <w:p>
      <w:pPr>
        <w:numPr>
          <w:ilvl w:val="0"/>
          <w:numId w:val="1012"/>
        </w:numPr>
        <w:pStyle w:val="Compact"/>
      </w:pPr>
      <w:r>
        <w:t xml:space="preserve">Edit the class labels in the</w:t>
      </w:r>
      <w:r>
        <w:t xml:space="preserve"> </w:t>
      </w:r>
      <w:r>
        <w:rPr>
          <w:b/>
        </w:rPr>
        <w:t xml:space="preserve">Symbology</w:t>
      </w:r>
      <w:r>
        <w:t xml:space="preserve"> </w:t>
      </w:r>
      <w:r>
        <w:t xml:space="preserve">pane to read:</w:t>
      </w:r>
      <w:r>
        <w:t xml:space="preserve"> </w:t>
      </w:r>
      <w:r>
        <w:rPr>
          <w:b/>
        </w:rPr>
        <w:t xml:space="preserve">1 — Lowest risk</w:t>
      </w:r>
      <w:r>
        <w:t xml:space="preserve">,</w:t>
      </w:r>
      <w:r>
        <w:t xml:space="preserve"> </w:t>
      </w:r>
      <w:r>
        <w:rPr>
          <w:b/>
        </w:rPr>
        <w:t xml:space="preserve">2 — Low risk</w:t>
      </w:r>
      <w:r>
        <w:t xml:space="preserve">,</w:t>
      </w:r>
      <w:r>
        <w:t xml:space="preserve"> </w:t>
      </w:r>
      <w:r>
        <w:rPr>
          <w:b/>
        </w:rPr>
        <w:t xml:space="preserve">3 — Moderate risk</w:t>
      </w:r>
      <w:r>
        <w:t xml:space="preserve">,</w:t>
      </w:r>
      <w:r>
        <w:t xml:space="preserve"> </w:t>
      </w:r>
      <w:r>
        <w:rPr>
          <w:b/>
        </w:rPr>
        <w:t xml:space="preserve">4 — High risk</w:t>
      </w:r>
      <w:r>
        <w:t xml:space="preserve">,</w:t>
      </w:r>
      <w:r>
        <w:t xml:space="preserve"> </w:t>
      </w:r>
      <w:r>
        <w:rPr>
          <w:b/>
        </w:rPr>
        <w:t xml:space="preserve">5 — Highest risk</w:t>
      </w:r>
      <w:r>
        <w:t xml:space="preserve">.</w:t>
      </w:r>
    </w:p>
    <w:p>
      <w:pPr>
        <w:pStyle w:val="BlockText"/>
      </w:pPr>
      <w:r>
        <w:rPr>
          <w:b/>
        </w:rPr>
        <w:t xml:space="preserve">Note:</w:t>
      </w:r>
      <w:r>
        <w:t xml:space="preserve"> </w:t>
      </w:r>
      <w:r>
        <w:t xml:space="preserve">Viridis and ColorBrewer sequential ramps are designed to be perceptible by viewers with the most common forms of color-vision deficiency (red-green color blindness). Avoid red-green diverging ramps for vulnerability maps shown to general audiences.</w:t>
      </w:r>
    </w:p>
    <w:p>
      <w:pPr>
        <w:pStyle w:val="FirstParagraph"/>
      </w:pPr>
      <w:r>
        <w:rPr>
          <w:i/>
        </w:rPr>
        <w:t xml:space="preserve">[Figure: Symbology pane showing five equal-interval classes with Viridis color ramp applied to heat_vuln_primary]</w:t>
      </w:r>
    </w:p>
    <w:p>
      <w:r>
        <w:pict>
          <v:rect style="width:0;height:1.5pt" o:hralign="center" o:hrstd="t" o:hr="t"/>
        </w:pict>
      </w:r>
    </w:p>
    <w:p>
      <w:pPr>
        <w:pStyle w:val="Heading2"/>
      </w:pPr>
      <w:bookmarkStart w:id="35" w:name="part-7-build-the-map-layout"/>
      <w:r>
        <w:t xml:space="preserve">Part 7: Build the map layout</w:t>
      </w:r>
      <w:bookmarkEnd w:id="35"/>
    </w:p>
    <w:p>
      <w:pPr>
        <w:pStyle w:val="FirstParagraph"/>
      </w:pPr>
      <w:r>
        <w:t xml:space="preserve">You will now switch from the map view to a print layout and add all required map elements.</w:t>
      </w:r>
    </w:p>
    <w:p>
      <w:pPr>
        <w:pStyle w:val="Heading3"/>
      </w:pPr>
      <w:bookmarkStart w:id="36" w:name="a-create-a-new-layout"/>
      <w:r>
        <w:t xml:space="preserve">7a — Create a new layout</w:t>
      </w:r>
      <w:bookmarkEnd w:id="36"/>
    </w:p>
    <w:p>
      <w:pPr>
        <w:numPr>
          <w:ilvl w:val="0"/>
          <w:numId w:val="1013"/>
        </w:numPr>
        <w:pStyle w:val="Compact"/>
      </w:pPr>
      <w:r>
        <w:t xml:space="preserve">On the</w:t>
      </w:r>
      <w:r>
        <w:t xml:space="preserve"> </w:t>
      </w:r>
      <w:r>
        <w:rPr>
          <w:b/>
        </w:rPr>
        <w:t xml:space="preserve">Insert</w:t>
      </w:r>
      <w:r>
        <w:t xml:space="preserve"> </w:t>
      </w:r>
      <w:r>
        <w:t xml:space="preserve">tab, in the</w:t>
      </w:r>
      <w:r>
        <w:t xml:space="preserve"> </w:t>
      </w:r>
      <w:r>
        <w:rPr>
          <w:b/>
        </w:rPr>
        <w:t xml:space="preserve">Project</w:t>
      </w:r>
      <w:r>
        <w:t xml:space="preserve"> </w:t>
      </w:r>
      <w:r>
        <w:t xml:space="preserve">group, click</w:t>
      </w:r>
      <w:r>
        <w:t xml:space="preserve"> </w:t>
      </w:r>
      <w:r>
        <w:rPr>
          <w:b/>
        </w:rPr>
        <w:t xml:space="preserve">New Layout</w:t>
      </w:r>
      <w:r>
        <w:t xml:space="preserve">.</w:t>
      </w:r>
    </w:p>
    <w:p>
      <w:pPr>
        <w:numPr>
          <w:ilvl w:val="0"/>
          <w:numId w:val="1013"/>
        </w:numPr>
        <w:pStyle w:val="Compact"/>
      </w:pPr>
      <w:r>
        <w:t xml:space="preserve">Choose</w:t>
      </w:r>
      <w:r>
        <w:t xml:space="preserve"> </w:t>
      </w:r>
      <w:r>
        <w:rPr>
          <w:b/>
        </w:rPr>
        <w:t xml:space="preserve">Letter</w:t>
      </w:r>
      <w:r>
        <w:t xml:space="preserve"> </w:t>
      </w:r>
      <w:r>
        <w:t xml:space="preserve">(8.5 × 11 in),</w:t>
      </w:r>
      <w:r>
        <w:t xml:space="preserve"> </w:t>
      </w:r>
      <w:r>
        <w:rPr>
          <w:b/>
        </w:rPr>
        <w:t xml:space="preserve">Landscape</w:t>
      </w:r>
      <w:r>
        <w:t xml:space="preserve"> </w:t>
      </w:r>
      <w:r>
        <w:t xml:space="preserve">orientation. A blank layout canvas opens.</w:t>
      </w:r>
    </w:p>
    <w:p>
      <w:pPr>
        <w:pStyle w:val="Heading3"/>
      </w:pPr>
      <w:bookmarkStart w:id="37" w:name="b-insert-the-map-frame"/>
      <w:r>
        <w:t xml:space="preserve">7b — Insert the map frame</w:t>
      </w:r>
      <w:bookmarkEnd w:id="37"/>
    </w:p>
    <w:p>
      <w:pPr>
        <w:numPr>
          <w:ilvl w:val="0"/>
          <w:numId w:val="1014"/>
        </w:numPr>
        <w:pStyle w:val="Compact"/>
      </w:pPr>
      <w:r>
        <w:t xml:space="preserve">On the</w:t>
      </w:r>
      <w:r>
        <w:t xml:space="preserve"> </w:t>
      </w:r>
      <w:r>
        <w:rPr>
          <w:b/>
        </w:rPr>
        <w:t xml:space="preserve">Insert</w:t>
      </w:r>
      <w:r>
        <w:t xml:space="preserve"> </w:t>
      </w:r>
      <w:r>
        <w:t xml:space="preserve">tab, in the</w:t>
      </w:r>
      <w:r>
        <w:t xml:space="preserve"> </w:t>
      </w:r>
      <w:r>
        <w:rPr>
          <w:b/>
        </w:rPr>
        <w:t xml:space="preserve">Map Frames</w:t>
      </w:r>
      <w:r>
        <w:t xml:space="preserve"> </w:t>
      </w:r>
      <w:r>
        <w:t xml:space="preserve">group, click</w:t>
      </w:r>
      <w:r>
        <w:t xml:space="preserve"> </w:t>
      </w:r>
      <w:r>
        <w:rPr>
          <w:b/>
        </w:rPr>
        <w:t xml:space="preserve">Map Frame</w:t>
      </w:r>
      <w:r>
        <w:t xml:space="preserve"> </w:t>
      </w:r>
      <w:r>
        <w:t xml:space="preserve">→ select your current map view from the dropdown.</w:t>
      </w:r>
    </w:p>
    <w:p>
      <w:pPr>
        <w:numPr>
          <w:ilvl w:val="0"/>
          <w:numId w:val="1014"/>
        </w:numPr>
        <w:pStyle w:val="Compact"/>
      </w:pPr>
      <w:r>
        <w:t xml:space="preserve">Draw a map frame rectangle on the canvas, leaving margins for the title (top), legend and scale bar (right or bottom), and source line (bottom).</w:t>
      </w:r>
    </w:p>
    <w:p>
      <w:pPr>
        <w:numPr>
          <w:ilvl w:val="0"/>
          <w:numId w:val="1014"/>
        </w:numPr>
        <w:pStyle w:val="Compact"/>
      </w:pPr>
      <w:r>
        <w:t xml:space="preserve">Double-click inside the map frame to activate it. Pan and zoom to frame Philadelphia tightly, leaving a small buffer around the city boundary.</w:t>
      </w:r>
    </w:p>
    <w:p>
      <w:pPr>
        <w:numPr>
          <w:ilvl w:val="0"/>
          <w:numId w:val="1014"/>
        </w:numPr>
        <w:pStyle w:val="Compact"/>
      </w:pPr>
      <w:r>
        <w:t xml:space="preserve">Click outside the frame to deactivate it.</w:t>
      </w:r>
    </w:p>
    <w:p>
      <w:pPr>
        <w:pStyle w:val="FirstParagraph"/>
      </w:pPr>
      <w:r>
        <w:rPr>
          <w:i/>
        </w:rPr>
        <w:t xml:space="preserve">[Figure: Layout canvas with map frame drawn and Philadelphia extent visible]</w:t>
      </w:r>
    </w:p>
    <w:p>
      <w:pPr>
        <w:pStyle w:val="Heading3"/>
      </w:pPr>
      <w:bookmarkStart w:id="38" w:name="c-add-required-map-elements"/>
      <w:r>
        <w:t xml:space="preserve">7c — Add required map elements</w:t>
      </w:r>
      <w:bookmarkEnd w:id="38"/>
    </w:p>
    <w:p>
      <w:pPr>
        <w:pStyle w:val="FirstParagraph"/>
      </w:pPr>
      <w:r>
        <w:t xml:space="preserve">Add each element from the</w:t>
      </w:r>
      <w:r>
        <w:t xml:space="preserve"> </w:t>
      </w:r>
      <w:r>
        <w:rPr>
          <w:b/>
        </w:rPr>
        <w:t xml:space="preserve">Insert</w:t>
      </w:r>
      <w:r>
        <w:t xml:space="preserve"> </w:t>
      </w:r>
      <w:r>
        <w:t xml:space="preserve">tab:</w:t>
      </w:r>
    </w:p>
    <w:p>
      <w:pPr>
        <w:numPr>
          <w:ilvl w:val="0"/>
          <w:numId w:val="1015"/>
        </w:numPr>
      </w:pPr>
      <w:r>
        <w:rPr>
          <w:b/>
        </w:rPr>
        <w:t xml:space="preserve">Title:</w:t>
      </w:r>
      <w:r>
        <w:t xml:space="preserve"> </w:t>
      </w:r>
      <w:r>
        <w:t xml:space="preserve">Insert →</w:t>
      </w:r>
      <w:r>
        <w:t xml:space="preserve"> </w:t>
      </w:r>
      <w:r>
        <w:rPr>
          <w:b/>
        </w:rPr>
        <w:t xml:space="preserve">Text</w:t>
      </w:r>
      <w:r>
        <w:t xml:space="preserve"> </w:t>
      </w:r>
      <w:r>
        <w:t xml:space="preserve">→ draw a text box above the map frame. Type:</w:t>
      </w:r>
      <w:r>
        <w:t xml:space="preserve"> </w:t>
      </w:r>
      <w:r>
        <w:rPr>
          <w:rStyle w:val="VerbatimChar"/>
        </w:rPr>
        <w:t xml:space="preserve">Heat-Health Vulnerability Index — Philadelphia, PA</w:t>
      </w:r>
      <w:r>
        <w:t xml:space="preserve">. Use a sans-serif font (Calibri or Arial), 18–20 pt, bold. On a second line, smaller text:</w:t>
      </w:r>
      <w:r>
        <w:t xml:space="preserve"> </w:t>
      </w:r>
      <w:r>
        <w:rPr>
          <w:rStyle w:val="VerbatimChar"/>
        </w:rPr>
        <w:t xml:space="preserve">Composite of Land-Surface Temperature, Tree Canopy, and Social Vulnerability Index</w:t>
      </w:r>
      <w:r>
        <w:t xml:space="preserve">.</w:t>
      </w:r>
    </w:p>
    <w:p>
      <w:pPr>
        <w:numPr>
          <w:ilvl w:val="0"/>
          <w:numId w:val="1015"/>
        </w:numPr>
      </w:pPr>
      <w:r>
        <w:rPr>
          <w:b/>
        </w:rPr>
        <w:t xml:space="preserve">Legend:</w:t>
      </w:r>
      <w:r>
        <w:t xml:space="preserve"> </w:t>
      </w:r>
      <w:r>
        <w:t xml:space="preserve">Insert →</w:t>
      </w:r>
      <w:r>
        <w:t xml:space="preserve"> </w:t>
      </w:r>
      <w:r>
        <w:rPr>
          <w:b/>
        </w:rPr>
        <w:t xml:space="preserve">Legend</w:t>
      </w:r>
      <w:r>
        <w:t xml:space="preserve">. Draw the legend box in an open area. In the</w:t>
      </w:r>
      <w:r>
        <w:t xml:space="preserve"> </w:t>
      </w:r>
      <w:r>
        <w:rPr>
          <w:b/>
        </w:rPr>
        <w:t xml:space="preserve">Element</w:t>
      </w:r>
      <w:r>
        <w:t xml:space="preserve"> </w:t>
      </w:r>
      <w:r>
        <w:t xml:space="preserve">pane that opens, remove layers you do not want in the legend (keep only</w:t>
      </w:r>
      <w:r>
        <w:t xml:space="preserve"> </w:t>
      </w:r>
      <w:r>
        <w:rPr>
          <w:rStyle w:val="VerbatimChar"/>
        </w:rPr>
        <w:t xml:space="preserve">heat_vuln_primary</w:t>
      </w:r>
      <w:r>
        <w:t xml:space="preserve">). Edit legend item names to match your class labels from Part 6. Set the legend title to</w:t>
      </w:r>
      <w:r>
        <w:t xml:space="preserve"> </w:t>
      </w:r>
      <w:r>
        <w:rPr>
          <w:rStyle w:val="VerbatimChar"/>
        </w:rPr>
        <w:t xml:space="preserve">Heat-Health Risk</w:t>
      </w:r>
      <w:r>
        <w:t xml:space="preserve">.</w:t>
      </w:r>
    </w:p>
    <w:p>
      <w:pPr>
        <w:numPr>
          <w:ilvl w:val="0"/>
          <w:numId w:val="1015"/>
        </w:numPr>
      </w:pPr>
      <w:r>
        <w:rPr>
          <w:b/>
        </w:rPr>
        <w:t xml:space="preserve">Scale bar:</w:t>
      </w:r>
      <w:r>
        <w:t xml:space="preserve"> </w:t>
      </w:r>
      <w:r>
        <w:t xml:space="preserve">Insert →</w:t>
      </w:r>
      <w:r>
        <w:t xml:space="preserve"> </w:t>
      </w:r>
      <w:r>
        <w:rPr>
          <w:b/>
        </w:rPr>
        <w:t xml:space="preserve">Scale Bar</w:t>
      </w:r>
      <w:r>
        <w:t xml:space="preserve">. Choose a bar style (Alternating Scale Bar is clean). Set units to</w:t>
      </w:r>
      <w:r>
        <w:t xml:space="preserve"> </w:t>
      </w:r>
      <w:r>
        <w:rPr>
          <w:b/>
        </w:rPr>
        <w:t xml:space="preserve">Kilometers</w:t>
      </w:r>
      <w:r>
        <w:t xml:space="preserve">. Position below or beside the map frame.</w:t>
      </w:r>
    </w:p>
    <w:p>
      <w:pPr>
        <w:numPr>
          <w:ilvl w:val="0"/>
          <w:numId w:val="1015"/>
        </w:numPr>
      </w:pPr>
      <w:r>
        <w:rPr>
          <w:b/>
        </w:rPr>
        <w:t xml:space="preserve">North arrow:</w:t>
      </w:r>
      <w:r>
        <w:t xml:space="preserve"> </w:t>
      </w:r>
      <w:r>
        <w:t xml:space="preserve">Insert →</w:t>
      </w:r>
      <w:r>
        <w:t xml:space="preserve"> </w:t>
      </w:r>
      <w:r>
        <w:rPr>
          <w:b/>
        </w:rPr>
        <w:t xml:space="preserve">North Arrow</w:t>
      </w:r>
      <w:r>
        <w:t xml:space="preserve">. Choose a simple style (ArcGIS North 1 or similar). Place in a corner of the map frame or beside the scale bar.</w:t>
      </w:r>
    </w:p>
    <w:p>
      <w:pPr>
        <w:numPr>
          <w:ilvl w:val="0"/>
          <w:numId w:val="1015"/>
        </w:numPr>
      </w:pPr>
      <w:r>
        <w:rPr>
          <w:b/>
        </w:rPr>
        <w:t xml:space="preserve">Source and credits text box:</w:t>
      </w:r>
      <w:r>
        <w:t xml:space="preserve"> </w:t>
      </w:r>
      <w:r>
        <w:t xml:space="preserve">Insert →</w:t>
      </w:r>
      <w:r>
        <w:t xml:space="preserve"> </w:t>
      </w:r>
      <w:r>
        <w:rPr>
          <w:b/>
        </w:rPr>
        <w:t xml:space="preserve">Text</w:t>
      </w:r>
      <w:r>
        <w:t xml:space="preserve">. Draw a small text box at the bottom of the layout outside the map frame. Type:</w:t>
      </w:r>
    </w:p>
    <w:p>
      <w:pPr>
        <w:numPr>
          <w:ilvl w:val="0"/>
          <w:numId w:val="1000"/>
        </w:numPr>
        <w:pStyle w:val="SourceCode"/>
      </w:pPr>
      <w:r>
        <w:rPr>
          <w:rStyle w:val="VerbatimChar"/>
        </w:rPr>
        <w:t xml:space="preserve">Data sources: CDC/ATSDR Social Vulnerability Index 2022; USGS/NOAA Land-Surface Temperature;</w:t>
      </w:r>
      <w:r>
        <w:br/>
      </w:r>
      <w:r>
        <w:rPr>
          <w:rStyle w:val="VerbatimChar"/>
        </w:rPr>
        <w:t xml:space="preserve">NLCD Tree Canopy (MRLC). Projection: NAD83 UTM Zone 18N (EPSG:26918).</w:t>
      </w:r>
      <w:r>
        <w:br/>
      </w:r>
      <w:r>
        <w:rPr>
          <w:rStyle w:val="VerbatimChar"/>
        </w:rPr>
        <w:t xml:space="preserve">Produced: [your name], Intro GIS for Public Health, [date].</w:t>
      </w:r>
    </w:p>
    <w:p>
      <w:pPr>
        <w:numPr>
          <w:ilvl w:val="0"/>
          <w:numId w:val="1015"/>
        </w:numPr>
      </w:pPr>
      <w:r>
        <w:rPr>
          <w:b/>
        </w:rPr>
        <w:t xml:space="preserve">Projection note:</w:t>
      </w:r>
      <w:r>
        <w:t xml:space="preserve"> </w:t>
      </w:r>
      <w:r>
        <w:t xml:space="preserve">Include the projection in the source line above (already shown). If space permits, add a brief note:</w:t>
      </w:r>
      <w:r>
        <w:t xml:space="preserve"> </w:t>
      </w:r>
      <w:r>
        <w:rPr>
          <w:rStyle w:val="VerbatimChar"/>
        </w:rPr>
        <w:t xml:space="preserve">Distances in meters; area calculations in square meters.</w:t>
      </w:r>
    </w:p>
    <w:p>
      <w:pPr>
        <w:pStyle w:val="BlockText"/>
      </w:pPr>
      <w:r>
        <w:rPr>
          <w:b/>
        </w:rPr>
        <w:t xml:space="preserve">Public health note:</w:t>
      </w:r>
      <w:r>
        <w:t xml:space="preserve"> </w:t>
      </w:r>
      <w:r>
        <w:t xml:space="preserve">An internal analyst map differs from a public-facing communication map. For community or media audiences, use plain-language labels and include a caution that high-risk scores describe structural conditions of places — not the people who live in them. Your title and legend should communicate risk to neighborhoods, not stigmatize residents.</w:t>
      </w:r>
    </w:p>
    <w:p>
      <w:pPr>
        <w:pStyle w:val="BlockText"/>
      </w:pPr>
      <w:r>
        <w:rPr>
          <w:b/>
        </w:rPr>
        <w:t xml:space="preserve">Warning:</w:t>
      </w:r>
      <w:r>
        <w:t xml:space="preserve"> </w:t>
      </w:r>
      <w:r>
        <w:t xml:space="preserve">Do not use the raw file name (e.g.,</w:t>
      </w:r>
      <w:r>
        <w:t xml:space="preserve"> </w:t>
      </w:r>
      <w:r>
        <w:rPr>
          <w:rStyle w:val="VerbatimChar"/>
        </w:rPr>
        <w:t xml:space="preserve">heat_vuln_primary</w:t>
      </w:r>
      <w:r>
        <w:t xml:space="preserve">) as a legend label. Replace all auto-generated layer names with descriptive, plain-language text before exporting.</w:t>
      </w:r>
    </w:p>
    <w:p>
      <w:pPr>
        <w:pStyle w:val="FirstParagraph"/>
      </w:pPr>
      <w:r>
        <w:rPr>
          <w:i/>
        </w:rPr>
        <w:t xml:space="preserve">[Figure: Completed layout with title, map frame, legend, scale bar, north arrow, and source text box all positioned]</w:t>
      </w:r>
    </w:p>
    <w:p>
      <w:pPr>
        <w:pStyle w:val="Heading3"/>
      </w:pPr>
      <w:bookmarkStart w:id="39" w:name="d-export-the-layout"/>
      <w:r>
        <w:t xml:space="preserve">7d — Export the layout</w:t>
      </w:r>
      <w:bookmarkEnd w:id="39"/>
    </w:p>
    <w:p>
      <w:pPr>
        <w:numPr>
          <w:ilvl w:val="0"/>
          <w:numId w:val="1016"/>
        </w:numPr>
        <w:pStyle w:val="Compact"/>
      </w:pPr>
      <w:r>
        <w:t xml:space="preserve">On the</w:t>
      </w:r>
      <w:r>
        <w:t xml:space="preserve"> </w:t>
      </w:r>
      <w:r>
        <w:rPr>
          <w:b/>
        </w:rPr>
        <w:t xml:space="preserve">Share</w:t>
      </w:r>
      <w:r>
        <w:t xml:space="preserve"> </w:t>
      </w:r>
      <w:r>
        <w:t xml:space="preserve">tab, in the</w:t>
      </w:r>
      <w:r>
        <w:t xml:space="preserve"> </w:t>
      </w:r>
      <w:r>
        <w:rPr>
          <w:b/>
        </w:rPr>
        <w:t xml:space="preserve">Output</w:t>
      </w:r>
      <w:r>
        <w:t xml:space="preserve"> </w:t>
      </w:r>
      <w:r>
        <w:t xml:space="preserve">group, click</w:t>
      </w:r>
      <w:r>
        <w:t xml:space="preserve"> </w:t>
      </w:r>
      <w:r>
        <w:rPr>
          <w:b/>
        </w:rPr>
        <w:t xml:space="preserve">Export Layout</w:t>
      </w:r>
      <w:r>
        <w:t xml:space="preserve">.</w:t>
      </w:r>
    </w:p>
    <w:p>
      <w:pPr>
        <w:numPr>
          <w:ilvl w:val="0"/>
          <w:numId w:val="1016"/>
        </w:numPr>
        <w:pStyle w:val="Compact"/>
      </w:pPr>
      <w:r>
        <w:t xml:space="preserve">For the PDF: set</w:t>
      </w:r>
      <w:r>
        <w:t xml:space="preserve"> </w:t>
      </w:r>
      <w:r>
        <w:rPr>
          <w:b/>
        </w:rPr>
        <w:t xml:space="preserve">File Type</w:t>
      </w:r>
      <w:r>
        <w:t xml:space="preserve"> </w:t>
      </w:r>
      <w:r>
        <w:t xml:space="preserve">to</w:t>
      </w:r>
      <w:r>
        <w:t xml:space="preserve"> </w:t>
      </w:r>
      <w:r>
        <w:rPr>
          <w:b/>
        </w:rPr>
        <w:t xml:space="preserve">PDF</w:t>
      </w:r>
      <w:r>
        <w:t xml:space="preserve">,</w:t>
      </w:r>
      <w:r>
        <w:t xml:space="preserve"> </w:t>
      </w:r>
      <w:r>
        <w:rPr>
          <w:b/>
        </w:rPr>
        <w:t xml:space="preserve">Resolution</w:t>
      </w:r>
      <w:r>
        <w:t xml:space="preserve"> </w:t>
      </w:r>
      <w:r>
        <w:t xml:space="preserve">to</w:t>
      </w:r>
      <w:r>
        <w:t xml:space="preserve"> </w:t>
      </w:r>
      <w:r>
        <w:rPr>
          <w:b/>
        </w:rPr>
        <w:t xml:space="preserve">300 DPI</w:t>
      </w:r>
      <w:r>
        <w:t xml:space="preserve">,</w:t>
      </w:r>
      <w:r>
        <w:t xml:space="preserve"> </w:t>
      </w:r>
      <w:r>
        <w:rPr>
          <w:b/>
        </w:rPr>
        <w:t xml:space="preserve">Image Quality</w:t>
      </w:r>
      <w:r>
        <w:t xml:space="preserve"> </w:t>
      </w:r>
      <w:r>
        <w:t xml:space="preserve">to</w:t>
      </w:r>
      <w:r>
        <w:t xml:space="preserve"> </w:t>
      </w:r>
      <w:r>
        <w:rPr>
          <w:b/>
        </w:rPr>
        <w:t xml:space="preserve">Best</w:t>
      </w:r>
      <w:r>
        <w:t xml:space="preserve">. Name the file</w:t>
      </w:r>
      <w:r>
        <w:t xml:space="preserve"> </w:t>
      </w:r>
      <w:r>
        <w:rPr>
          <w:rStyle w:val="VerbatimChar"/>
        </w:rPr>
        <w:t xml:space="preserve">Lab05b_HeatVuln_[YourName].pdf</w:t>
      </w:r>
      <w:r>
        <w:t xml:space="preserve">. Click</w:t>
      </w:r>
      <w:r>
        <w:t xml:space="preserve"> </w:t>
      </w:r>
      <w:r>
        <w:rPr>
          <w:b/>
        </w:rPr>
        <w:t xml:space="preserve">Export</w:t>
      </w:r>
      <w:r>
        <w:t xml:space="preserve">.</w:t>
      </w:r>
    </w:p>
    <w:p>
      <w:pPr>
        <w:numPr>
          <w:ilvl w:val="0"/>
          <w:numId w:val="1016"/>
        </w:numPr>
        <w:pStyle w:val="Compact"/>
      </w:pPr>
      <w:r>
        <w:t xml:space="preserve">For the PNG: repeat with</w:t>
      </w:r>
      <w:r>
        <w:t xml:space="preserve"> </w:t>
      </w:r>
      <w:r>
        <w:rPr>
          <w:b/>
        </w:rPr>
        <w:t xml:space="preserve">File Type</w:t>
      </w:r>
      <w:r>
        <w:t xml:space="preserve"> </w:t>
      </w:r>
      <w:r>
        <w:t xml:space="preserve">=</w:t>
      </w:r>
      <w:r>
        <w:t xml:space="preserve"> </w:t>
      </w:r>
      <w:r>
        <w:rPr>
          <w:b/>
        </w:rPr>
        <w:t xml:space="preserve">PNG</w:t>
      </w:r>
      <w:r>
        <w:t xml:space="preserve">,</w:t>
      </w:r>
      <w:r>
        <w:t xml:space="preserve"> </w:t>
      </w:r>
      <w:r>
        <w:rPr>
          <w:b/>
        </w:rPr>
        <w:t xml:space="preserve">Resolution</w:t>
      </w:r>
      <w:r>
        <w:t xml:space="preserve"> </w:t>
      </w:r>
      <w:r>
        <w:t xml:space="preserve">=</w:t>
      </w:r>
      <w:r>
        <w:t xml:space="preserve"> </w:t>
      </w:r>
      <w:r>
        <w:rPr>
          <w:b/>
        </w:rPr>
        <w:t xml:space="preserve">150 DPI</w:t>
      </w:r>
      <w:r>
        <w:t xml:space="preserve">. Name the file</w:t>
      </w:r>
      <w:r>
        <w:t xml:space="preserve"> </w:t>
      </w:r>
      <w:r>
        <w:rPr>
          <w:rStyle w:val="VerbatimChar"/>
        </w:rPr>
        <w:t xml:space="preserve">Lab05b_HeatVuln_[YourName].png</w:t>
      </w:r>
      <w:r>
        <w:t xml:space="preserve">. Click</w:t>
      </w:r>
      <w:r>
        <w:t xml:space="preserve"> </w:t>
      </w:r>
      <w:r>
        <w:rPr>
          <w:b/>
        </w:rPr>
        <w:t xml:space="preserve">Export</w:t>
      </w:r>
      <w:r>
        <w:t xml:space="preserve">.</w:t>
      </w:r>
    </w:p>
    <w:p>
      <w:r>
        <w:pict>
          <v:rect style="width:0;height:1.5pt" o:hralign="center" o:hrstd="t" o:hr="t"/>
        </w:pict>
      </w:r>
    </w:p>
    <w:p>
      <w:pPr>
        <w:pStyle w:val="Heading2"/>
      </w:pPr>
      <w:bookmarkStart w:id="40" w:name="deliverables"/>
      <w:r>
        <w:t xml:space="preserve">Deliverables</w:t>
      </w:r>
      <w:bookmarkEnd w:id="40"/>
    </w:p>
    <w:p>
      <w:pPr>
        <w:pStyle w:val="FirstParagraph"/>
      </w:pPr>
      <w:r>
        <w:t xml:space="preserve">Submit all of the following to your instructor’s designated drop folder or LMS by the end of Day 5:</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rPr>
                <w:rStyle w:val="VerbatimChar"/>
              </w:rPr>
              <w:t xml:space="preserve">Lab05b_HeatVuln_[YourName].pdf</w:t>
            </w:r>
          </w:p>
        </w:tc>
        <w:tc>
          <w:p>
            <w:pPr>
              <w:pStyle w:val="Compact"/>
              <w:jc w:val="left"/>
            </w:pPr>
            <w:r>
              <w:t xml:space="preserve">Exported layout, 300 dpi</w:t>
            </w:r>
          </w:p>
        </w:tc>
      </w:tr>
      <w:tr>
        <w:tc>
          <w:p>
            <w:pPr>
              <w:pStyle w:val="Compact"/>
              <w:jc w:val="left"/>
            </w:pPr>
            <w:r>
              <w:t xml:space="preserve">2</w:t>
            </w:r>
          </w:p>
        </w:tc>
        <w:tc>
          <w:p>
            <w:pPr>
              <w:pStyle w:val="Compact"/>
              <w:jc w:val="left"/>
            </w:pPr>
            <w:r>
              <w:rPr>
                <w:rStyle w:val="VerbatimChar"/>
              </w:rPr>
              <w:t xml:space="preserve">Lab05b_HeatVuln_[YourName].png</w:t>
            </w:r>
          </w:p>
        </w:tc>
        <w:tc>
          <w:p>
            <w:pPr>
              <w:pStyle w:val="Compact"/>
              <w:jc w:val="left"/>
            </w:pPr>
            <w:r>
              <w:t xml:space="preserve">Exported layout, 150 dpi</w:t>
            </w:r>
          </w:p>
        </w:tc>
      </w:tr>
      <w:tr>
        <w:tc>
          <w:p>
            <w:pPr>
              <w:pStyle w:val="Compact"/>
              <w:jc w:val="left"/>
            </w:pPr>
            <w:r>
              <w:t xml:space="preserve">3</w:t>
            </w:r>
          </w:p>
        </w:tc>
        <w:tc>
          <w:p>
            <w:pPr>
              <w:pStyle w:val="Compact"/>
              <w:jc w:val="left"/>
            </w:pPr>
            <w:r>
              <w:t xml:space="preserve">Written methods paragraph</w:t>
            </w:r>
          </w:p>
        </w:tc>
        <w:tc>
          <w:p>
            <w:pPr>
              <w:pStyle w:val="Compact"/>
              <w:jc w:val="left"/>
            </w:pPr>
            <w:r>
              <w:t xml:space="preserve">150 words max; state which three inputs you used, the reclassification method and break values for each, and the weights used in both the primary and sensitivity runs</w:t>
            </w:r>
          </w:p>
        </w:tc>
      </w:tr>
      <w:tr>
        <w:tc>
          <w:p>
            <w:pPr>
              <w:pStyle w:val="Compact"/>
              <w:jc w:val="left"/>
            </w:pPr>
            <w:r>
              <w:t xml:space="preserve">4</w:t>
            </w:r>
          </w:p>
        </w:tc>
        <w:tc>
          <w:p>
            <w:pPr>
              <w:pStyle w:val="Compact"/>
              <w:jc w:val="left"/>
            </w:pPr>
            <w:r>
              <w:t xml:space="preserve">Sensitivity comparison note</w:t>
            </w:r>
          </w:p>
        </w:tc>
        <w:tc>
          <w:p>
            <w:pPr>
              <w:pStyle w:val="Compact"/>
              <w:jc w:val="left"/>
            </w:pPr>
            <w:r>
              <w:t xml:space="preserve">2–3 sentences: which tracts moved between risk classes between the primary and sensitivity runs, and what that implies for analytic confidence</w:t>
            </w:r>
          </w:p>
        </w:tc>
      </w:tr>
      <w:tr>
        <w:tc>
          <w:p>
            <w:pPr>
              <w:pStyle w:val="Compact"/>
              <w:jc w:val="left"/>
            </w:pPr>
            <w:r>
              <w:t xml:space="preserve">5</w:t>
            </w:r>
          </w:p>
        </w:tc>
        <w:tc>
          <w:p>
            <w:pPr>
              <w:pStyle w:val="Compact"/>
              <w:jc w:val="left"/>
            </w:pPr>
            <w:r>
              <w:t xml:space="preserve">AI-assisted map alt-text</w:t>
            </w:r>
          </w:p>
        </w:tc>
        <w:tc>
          <w:p>
            <w:pPr>
              <w:pStyle w:val="Compact"/>
              <w:jc w:val="left"/>
            </w:pPr>
            <w:r>
              <w:t xml:space="preserve">One paragraph; label which sentences are AI-drafted and what you changed (see below)</w:t>
            </w:r>
          </w:p>
        </w:tc>
      </w:tr>
      <w:tr>
        <w:tc>
          <w:p>
            <w:pPr>
              <w:pStyle w:val="Compact"/>
              <w:jc w:val="left"/>
            </w:pPr>
            <w:r>
              <w:t xml:space="preserve">6</w:t>
            </w:r>
          </w:p>
        </w:tc>
        <w:tc>
          <w:p>
            <w:pPr>
              <w:pStyle w:val="Compact"/>
              <w:jc w:val="left"/>
            </w:pPr>
            <w:r>
              <w:t xml:space="preserve">AI map critique response</w:t>
            </w:r>
          </w:p>
        </w:tc>
        <w:tc>
          <w:p>
            <w:pPr>
              <w:pStyle w:val="Compact"/>
              <w:jc w:val="left"/>
            </w:pPr>
            <w:r>
              <w:t xml:space="preserve">List the critique points Claude identified; note which you acted on and which you did not, with a brief reason</w:t>
            </w:r>
          </w:p>
        </w:tc>
      </w:tr>
    </w:tbl>
    <w:p>
      <w:r>
        <w:pict>
          <v:rect style="width:0;height:1.5pt" o:hralign="center" o:hrstd="t" o:hr="t"/>
        </w:pict>
      </w:r>
    </w:p>
    <w:p>
      <w:pPr>
        <w:pStyle w:val="Heading2"/>
      </w:pPr>
      <w:bookmarkStart w:id="41" w:name="using-ai-in-this-lab"/>
      <w:r>
        <w:t xml:space="preserve">Using AI in this lab</w:t>
      </w:r>
      <w:bookmarkEnd w:id="41"/>
    </w:p>
    <w:p>
      <w:pPr>
        <w:pStyle w:val="FirstParagraph"/>
      </w:pPr>
      <w:r>
        <w:t xml:space="preserve">AI assistance is permitted for two specific, bounded tasks.</w:t>
      </w:r>
    </w:p>
    <w:p>
      <w:pPr>
        <w:pStyle w:val="BodyText"/>
      </w:pPr>
      <w:r>
        <w:rPr>
          <w:b/>
        </w:rPr>
        <w:t xml:space="preserve">Task A — Alt-text.</w:t>
      </w:r>
      <w:r>
        <w:t xml:space="preserve"> </w:t>
      </w:r>
      <w:r>
        <w:t xml:space="preserve">Accessibility requires descriptive alt-text for maps posted online or in reports. Share your exported PNG with Claude and prompt:</w:t>
      </w:r>
      <w:r>
        <w:t xml:space="preserve"> </w:t>
      </w:r>
      <w:r>
        <w:rPr>
          <w:i/>
        </w:rPr>
        <w:t xml:space="preserve">“</w:t>
      </w:r>
      <w:r>
        <w:rPr>
          <w:i/>
        </w:rPr>
        <w:t xml:space="preserve">Write one paragraph of accessibility alt-text for this heat-health vulnerability map of Philadelphia. Describe the geographic pattern, the color ramp, and the key finding. Aim for 75–100 words.</w:t>
      </w:r>
      <w:r>
        <w:rPr>
          <w:i/>
        </w:rPr>
        <w:t xml:space="preserve">”</w:t>
      </w:r>
      <w:r>
        <w:t xml:space="preserve"> </w:t>
      </w:r>
      <w:r>
        <w:t xml:space="preserve">Edit any factual errors and label the output:</w:t>
      </w:r>
      <w:r>
        <w:t xml:space="preserve"> </w:t>
      </w:r>
      <w:r>
        <w:rPr>
          <w:rStyle w:val="VerbatimChar"/>
        </w:rPr>
        <w:t xml:space="preserve">[AI-drafted, edited by [Your Name]]</w:t>
      </w:r>
      <w:r>
        <w:t xml:space="preserve">.</w:t>
      </w:r>
    </w:p>
    <w:p>
      <w:pPr>
        <w:pStyle w:val="BodyText"/>
      </w:pPr>
      <w:r>
        <w:rPr>
          <w:b/>
        </w:rPr>
        <w:t xml:space="preserve">Task B — Map critique.</w:t>
      </w:r>
      <w:r>
        <w:t xml:space="preserve"> </w:t>
      </w:r>
      <w:r>
        <w:t xml:space="preserve">Prompt Claude:</w:t>
      </w:r>
      <w:r>
        <w:t xml:space="preserve"> </w:t>
      </w:r>
      <w:r>
        <w:rPr>
          <w:i/>
        </w:rPr>
        <w:t xml:space="preserve">“</w:t>
      </w:r>
      <w:r>
        <w:rPr>
          <w:i/>
        </w:rPr>
        <w:t xml:space="preserve">Critique this map for: (1) color choice and colorblind accessibility, (2) appropriateness of the classification method, and (3) ethical framing — does the title or legend risk stigmatizing neighborhoods? Suggest specific improvements.</w:t>
      </w:r>
      <w:r>
        <w:rPr>
          <w:i/>
        </w:rPr>
        <w:t xml:space="preserve">”</w:t>
      </w:r>
      <w:r>
        <w:t xml:space="preserve"> </w:t>
      </w:r>
      <w:r>
        <w:t xml:space="preserve">In your deliverables, list each critique point and state whether you acted on it and why.</w:t>
      </w:r>
    </w:p>
    <w:p>
      <w:pPr>
        <w:pStyle w:val="BodyText"/>
      </w:pPr>
      <w:r>
        <w:rPr>
          <w:b/>
        </w:rPr>
        <w:t xml:space="preserve">Guardrails that apply to this course:</w:t>
      </w:r>
    </w:p>
    <w:p>
      <w:pPr>
        <w:numPr>
          <w:ilvl w:val="0"/>
          <w:numId w:val="1017"/>
        </w:numPr>
        <w:pStyle w:val="Compact"/>
      </w:pPr>
      <w:r>
        <w:t xml:space="preserve">AI helps with scaffolding, explaining, and critiquing. It does not make analytic decisions, choose datasets, select weights, or interpret patterns in the data.</w:t>
      </w:r>
    </w:p>
    <w:p>
      <w:pPr>
        <w:numPr>
          <w:ilvl w:val="0"/>
          <w:numId w:val="1017"/>
        </w:numPr>
        <w:pStyle w:val="Compact"/>
      </w:pPr>
      <w:r>
        <w:t xml:space="preserve">Never paste patient-level, address-level, or otherwise identifiable public health data into a public LLM.</w:t>
      </w:r>
    </w:p>
    <w:p>
      <w:pPr>
        <w:numPr>
          <w:ilvl w:val="0"/>
          <w:numId w:val="1017"/>
        </w:numPr>
        <w:pStyle w:val="Compact"/>
      </w:pPr>
      <w:r>
        <w:t xml:space="preserve">Label all AI-assisted output in your submitted work. Unlabeled AI output is an academic integrity violation.</w:t>
      </w:r>
    </w:p>
    <w:p>
      <w:pPr>
        <w:numPr>
          <w:ilvl w:val="0"/>
          <w:numId w:val="1017"/>
        </w:numPr>
        <w:pStyle w:val="Compact"/>
      </w:pPr>
      <w:r>
        <w:t xml:space="preserve">Verify every AI-generated factual claim before including it in your submission.</w:t>
      </w:r>
    </w:p>
    <w:p>
      <w:r>
        <w:pict>
          <v:rect style="width:0;height:1.5pt" o:hralign="center" o:hrstd="t" o:hr="t"/>
        </w:pict>
      </w:r>
    </w:p>
    <w:p>
      <w:pPr>
        <w:pStyle w:val="Heading2"/>
      </w:pPr>
      <w:bookmarkStart w:id="42" w:name="qgis-equivalent"/>
      <w:r>
        <w:t xml:space="preserve">QGIS equivalent</w:t>
      </w:r>
      <w:bookmarkEnd w:id="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step</w:t>
            </w:r>
          </w:p>
        </w:tc>
        <w:tc>
          <w:tcPr>
            <w:tcBorders>
              <w:bottom w:val="single"/>
            </w:tcBorders>
            <w:vAlign w:val="bottom"/>
          </w:tcPr>
          <w:p>
            <w:pPr>
              <w:pStyle w:val="Compact"/>
              <w:jc w:val="left"/>
            </w:pPr>
            <w:r>
              <w:t xml:space="preserve">QGIS equivalent</w:t>
            </w:r>
          </w:p>
        </w:tc>
      </w:tr>
      <w:tr>
        <w:tc>
          <w:p>
            <w:pPr>
              <w:pStyle w:val="Compact"/>
              <w:jc w:val="left"/>
            </w:pPr>
            <w:r>
              <w:t xml:space="preserve">Polygon to Raster</w:t>
            </w:r>
          </w:p>
        </w:tc>
        <w:tc>
          <w:p>
            <w:pPr>
              <w:pStyle w:val="Compact"/>
              <w:jc w:val="left"/>
            </w:pPr>
            <w:r>
              <w:rPr>
                <w:b/>
              </w:rPr>
              <w:t xml:space="preserve">Rasterize (vector to raster)</w:t>
            </w:r>
            <w:r>
              <w:t xml:space="preserve"> </w:t>
            </w:r>
            <w:r>
              <w:t xml:space="preserve">— Raster menu → Conversion → Rasterize</w:t>
            </w:r>
          </w:p>
        </w:tc>
      </w:tr>
      <w:tr>
        <w:tc>
          <w:p>
            <w:pPr>
              <w:pStyle w:val="Compact"/>
              <w:jc w:val="left"/>
            </w:pPr>
            <w:r>
              <w:t xml:space="preserve">Reclassify</w:t>
            </w:r>
          </w:p>
        </w:tc>
        <w:tc>
          <w:p>
            <w:pPr>
              <w:pStyle w:val="Compact"/>
              <w:jc w:val="left"/>
            </w:pPr>
            <w:r>
              <w:rPr>
                <w:b/>
              </w:rPr>
              <w:t xml:space="preserve">Reclassify by Table</w:t>
            </w:r>
            <w:r>
              <w:t xml:space="preserve"> </w:t>
            </w:r>
            <w:r>
              <w:t xml:space="preserve">— Raster menu → Raster Analysis; or</w:t>
            </w:r>
            <w:r>
              <w:t xml:space="preserve"> </w:t>
            </w:r>
            <w:r>
              <w:rPr>
                <w:b/>
              </w:rPr>
              <w:t xml:space="preserve">Raster Calculator</w:t>
            </w:r>
            <w:r>
              <w:t xml:space="preserve"> </w:t>
            </w:r>
            <w:r>
              <w:t xml:space="preserve">with conditional expressions</w:t>
            </w:r>
          </w:p>
        </w:tc>
      </w:tr>
      <w:tr>
        <w:tc>
          <w:p>
            <w:pPr>
              <w:pStyle w:val="Compact"/>
              <w:jc w:val="left"/>
            </w:pPr>
            <w:r>
              <w:t xml:space="preserve">Weighted Overlay</w:t>
            </w:r>
          </w:p>
        </w:tc>
        <w:tc>
          <w:p>
            <w:pPr>
              <w:pStyle w:val="Compact"/>
              <w:jc w:val="left"/>
            </w:pPr>
            <w:r>
              <w:rPr>
                <w:b/>
              </w:rPr>
              <w:t xml:space="preserve">Raster Calculator</w:t>
            </w:r>
            <w:r>
              <w:t xml:space="preserve"> </w:t>
            </w:r>
            <w:r>
              <w:t xml:space="preserve">— enter the expression manually, e.g.:</w:t>
            </w:r>
            <w:r>
              <w:t xml:space="preserve"> </w:t>
            </w:r>
            <w:r>
              <w:rPr>
                <w:rStyle w:val="VerbatimChar"/>
              </w:rPr>
              <w:t xml:space="preserve">("lst_rcls@1" * 0.4) + ("canopy_rcls@1" * 0.3) + ("svi_rcls@1" * 0.3)</w:t>
            </w:r>
          </w:p>
        </w:tc>
      </w:tr>
      <w:tr>
        <w:tc>
          <w:p>
            <w:pPr>
              <w:pStyle w:val="Compact"/>
              <w:jc w:val="left"/>
            </w:pPr>
            <w:r>
              <w:t xml:space="preserve">Layout</w:t>
            </w:r>
          </w:p>
        </w:tc>
        <w:tc>
          <w:p>
            <w:pPr>
              <w:pStyle w:val="Compact"/>
              <w:jc w:val="left"/>
            </w:pPr>
            <w:r>
              <w:rPr>
                <w:b/>
              </w:rPr>
              <w:t xml:space="preserve">Print Layout</w:t>
            </w:r>
            <w:r>
              <w:t xml:space="preserve"> </w:t>
            </w:r>
            <w:r>
              <w:t xml:space="preserve">— Project menu → New Print Layout; add map, legend, scale bar, north arrow, and text from the Add Item menu</w:t>
            </w:r>
          </w:p>
        </w:tc>
      </w:tr>
      <w:tr>
        <w:tc>
          <w:p>
            <w:pPr>
              <w:pStyle w:val="Compact"/>
              <w:jc w:val="left"/>
            </w:pPr>
            <w:r>
              <w:t xml:space="preserve">Export</w:t>
            </w:r>
          </w:p>
        </w:tc>
        <w:tc>
          <w:p>
            <w:pPr>
              <w:pStyle w:val="Compact"/>
              <w:jc w:val="left"/>
            </w:pPr>
            <w:r>
              <w:t xml:space="preserve">Layout menu → Export as PDF / Export as Image</w:t>
            </w:r>
          </w:p>
        </w:tc>
      </w:tr>
    </w:tbl>
    <w:p>
      <w:pPr>
        <w:pStyle w:val="BodyText"/>
      </w:pPr>
      <w:r>
        <w:t xml:space="preserve">Align input rasters before the Raster Calculator using</w:t>
      </w:r>
      <w:r>
        <w:t xml:space="preserve"> </w:t>
      </w:r>
      <w:r>
        <w:rPr>
          <w:b/>
        </w:rPr>
        <w:t xml:space="preserve">Warp (Reproject)</w:t>
      </w:r>
      <w:r>
        <w:t xml:space="preserve"> </w:t>
      </w:r>
      <w:r>
        <w:t xml:space="preserve">or</w:t>
      </w:r>
      <w:r>
        <w:t xml:space="preserve"> </w:t>
      </w:r>
      <w:r>
        <w:rPr>
          <w:b/>
        </w:rPr>
        <w:t xml:space="preserve">Align Rasters</w:t>
      </w:r>
      <w:r>
        <w:t xml:space="preserve"> </w:t>
      </w:r>
      <w:r>
        <w:t xml:space="preserve">(GDAL). GeoDa (geodacenter.github.io) extends this workflow with spatial smoothing and local Moran’s I for identifying statistically significant high-risk clusters.</w:t>
      </w:r>
    </w:p>
    <w:p>
      <w:r>
        <w:pict>
          <v:rect style="width:0;height:1.5pt" o:hralign="center" o:hrstd="t" o:hr="t"/>
        </w:pict>
      </w:r>
    </w:p>
    <w:p>
      <w:pPr>
        <w:pStyle w:val="Heading2"/>
      </w:pPr>
      <w:bookmarkStart w:id="43" w:name="check-your-understanding"/>
      <w:r>
        <w:t xml:space="preserve">Check your understanding</w:t>
      </w:r>
      <w:bookmarkEnd w:id="43"/>
    </w:p>
    <w:p>
      <w:pPr>
        <w:numPr>
          <w:ilvl w:val="0"/>
          <w:numId w:val="1018"/>
        </w:numPr>
        <w:pStyle w:val="Compact"/>
      </w:pPr>
      <w:r>
        <w:t xml:space="preserve">You reclassified tree canopy so that low canopy = 5 (high risk) and high canopy = 1 (low risk). Explain in one sentence why the reclassification direction is reversed compared to LST.</w:t>
      </w:r>
    </w:p>
    <w:p>
      <w:pPr>
        <w:numPr>
          <w:ilvl w:val="0"/>
          <w:numId w:val="1018"/>
        </w:numPr>
        <w:pStyle w:val="Compact"/>
      </w:pPr>
      <w:r>
        <w:t xml:space="preserve">In the primary weighted overlay, LST received 40% weight and SVI received 30%. Name one alternative weighting scheme you could justify and state the evidence or reasoning that would support it.</w:t>
      </w:r>
    </w:p>
    <w:p>
      <w:pPr>
        <w:numPr>
          <w:ilvl w:val="0"/>
          <w:numId w:val="1018"/>
        </w:numPr>
        <w:pStyle w:val="Compact"/>
      </w:pPr>
      <w:r>
        <w:t xml:space="preserve">A colleague says the map shows that North Philadelphia residents are at high risk. Why is that framing potentially problematic, and how would you reword it?</w:t>
      </w:r>
    </w:p>
    <w:p>
      <w:pPr>
        <w:numPr>
          <w:ilvl w:val="0"/>
          <w:numId w:val="1018"/>
        </w:numPr>
        <w:pStyle w:val="Compact"/>
      </w:pPr>
      <w:r>
        <w:t xml:space="preserve">What does the sensitivity analysis tell you when the primary and alternative weight runs produce nearly identical spatial patterns? What does it tell you when they diverge substantially?</w:t>
      </w:r>
    </w:p>
    <w:p>
      <w:pPr>
        <w:numPr>
          <w:ilvl w:val="0"/>
          <w:numId w:val="1018"/>
        </w:numPr>
        <w:pStyle w:val="Compact"/>
      </w:pPr>
      <w:r>
        <w:t xml:space="preserve">You want to add a fifth input layer — proximity to cooling centers — to the composite. Briefly describe the steps: what data would you need, how would you derive a proximity raster, and in what direction would you reclassify it (high proximity = lower or higher risk)?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2026-06-09T17:17:36Z</dcterms:created>
  <dcterms:modified xsi:type="dcterms:W3CDTF">2026-06-09T17:17:36Z</dcterms:modified>
</cp:coreProperties>
</file>

<file path=docProps/custom.xml><?xml version="1.0" encoding="utf-8"?>
<Properties xmlns="http://schemas.openxmlformats.org/officeDocument/2006/custom-properties" xmlns:vt="http://schemas.openxmlformats.org/officeDocument/2006/docPropsVTypes"/>
</file>