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Times New Roman" w:cs="Times New Roman" w:eastAsia="Times New Roman" w:hAnsi="Times New Roman"/>
          <w:b/>
          <w:bCs/>
          <w:sz w:val="40"/>
          <w:szCs w:val="40"/>
        </w:rPr>
        <w:t xml:space="preserve">Software Design Specification</w:t>
      </w:r>
    </w:p>
    <w:p>
      <w:pPr>
        <w:spacing w:after="200"/>
        <w:jc w:val="center"/>
      </w:pPr>
      <w:r>
        <w:rPr>
          <w:rFonts w:ascii="Times New Roman" w:cs="Times New Roman" w:eastAsia="Times New Roman" w:hAnsi="Times New Roman"/>
          <w:i/>
          <w:iCs/>
          <w:sz w:val="22"/>
          <w:szCs w:val="22"/>
        </w:rPr>
        <w:t xml:space="preserve">for</w:t>
      </w:r>
    </w:p>
    <w:p>
      <w:pPr>
        <w:spacing w:after="100"/>
        <w:jc w:val="center"/>
      </w:pPr>
      <w:r>
        <w:rPr>
          <w:rFonts w:ascii="Times New Roman" w:cs="Times New Roman" w:eastAsia="Times New Roman" w:hAnsi="Times New Roman"/>
          <w:b/>
          <w:bCs/>
          <w:sz w:val="36"/>
          <w:szCs w:val="36"/>
        </w:rPr>
        <w:t xml:space="preserve">VAKVIC</w:t>
      </w:r>
    </w:p>
    <w:p>
      <w:pPr>
        <w:spacing w:after="240"/>
        <w:jc w:val="center"/>
      </w:pPr>
      <w:r>
        <w:rPr>
          <w:rFonts w:ascii="Times New Roman" w:cs="Times New Roman" w:eastAsia="Times New Roman" w:hAnsi="Times New Roman"/>
          <w:i/>
          <w:iCs/>
          <w:sz w:val="24"/>
          <w:szCs w:val="24"/>
        </w:rPr>
        <w:t xml:space="preserve">Value Analytics &amp; Knowledge-driven Value Intelligence Core</w:t>
      </w:r>
    </w:p>
    <w:p>
      <w:pPr>
        <w:spacing w:after="480"/>
        <w:jc w:val="center"/>
      </w:pPr>
      <w:r>
        <w:rPr>
          <w:rFonts w:ascii="Times New Roman" w:cs="Times New Roman" w:eastAsia="Times New Roman" w:hAnsi="Times New Roman"/>
          <w:sz w:val="24"/>
          <w:szCs w:val="24"/>
        </w:rPr>
        <w:t xml:space="preserve">Version 1.0</w:t>
      </w:r>
    </w:p>
    <w:p>
      <w:pPr>
        <w:spacing w:after="100"/>
        <w:jc w:val="center"/>
      </w:pPr>
      <w:r>
        <w:rPr>
          <w:rFonts w:ascii="Times New Roman" w:cs="Times New Roman" w:eastAsia="Times New Roman" w:hAnsi="Times New Roman"/>
          <w:sz w:val="22"/>
          <w:szCs w:val="22"/>
        </w:rPr>
        <w:t xml:space="preserve">Mahindra University  •  Software Engineering</w:t>
      </w:r>
    </w:p>
    <w:p>
      <w:pPr>
        <w:spacing w:after="100"/>
        <w:jc w:val="center"/>
      </w:pPr>
      <w:r>
        <w:rPr>
          <w:rFonts w:ascii="Times New Roman" w:cs="Times New Roman" w:eastAsia="Times New Roman" w:hAnsi="Times New Roman"/>
          <w:sz w:val="22"/>
          <w:szCs w:val="22"/>
        </w:rPr>
        <w:t xml:space="preserve">April 8, 2026</w:t>
      </w:r>
    </w:p>
    <w:p>
      <w:pPr>
        <w:spacing w:after="140" w:before="480"/>
        <w:jc w:val="center"/>
      </w:pPr>
      <w:r>
        <w:rPr>
          <w:rFonts w:ascii="Times New Roman" w:cs="Times New Roman" w:eastAsia="Times New Roman" w:hAnsi="Times New Roman"/>
          <w:b/>
          <w:bCs/>
          <w:sz w:val="24"/>
          <w:szCs w:val="24"/>
        </w:rPr>
        <w:t xml:space="preserve">Prepared by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200"/>
        <w:gridCol w:w="3360"/>
      </w:tblGrid>
      <w:tr>
        <w:tc>
          <w:tcPr>
            <w:tcW w:type="dxa" w:w="1800"/>
            <w:tcBorders>
              <w:top w:val="single" w:color="888888" w:sz="4"/>
              <w:left w:val="single" w:color="888888" w:sz="4"/>
              <w:bottom w:val="single" w:color="888888" w:sz="4"/>
              <w:right w:val="single" w:color="888888" w:sz="4"/>
            </w:tcBorders>
            <w:shd w:fill="E8E8E8" w:val="clear"/>
            <w:tcMar>
              <w:top w:type="dxa" w:w="70"/>
              <w:left w:type="dxa" w:w="110"/>
              <w:bottom w:type="dxa" w:w="70"/>
              <w:right w:type="dxa" w:w="110"/>
            </w:tcMar>
          </w:tcPr>
          <w:p>
            <w:pPr>
              <w:spacing w:after="30"/>
            </w:pPr>
            <w:r>
              <w:rPr>
                <w:rFonts w:ascii="Times New Roman" w:cs="Times New Roman" w:eastAsia="Times New Roman" w:hAnsi="Times New Roman"/>
                <w:b/>
                <w:bCs/>
                <w:sz w:val="22"/>
                <w:szCs w:val="22"/>
              </w:rPr>
              <w:t xml:space="preserve">Name</w:t>
            </w:r>
          </w:p>
        </w:tc>
        <w:tc>
          <w:tcPr>
            <w:tcW w:type="dxa" w:w="2000"/>
            <w:tcBorders>
              <w:top w:val="single" w:color="888888" w:sz="4"/>
              <w:left w:val="single" w:color="888888" w:sz="4"/>
              <w:bottom w:val="single" w:color="888888" w:sz="4"/>
              <w:right w:val="single" w:color="888888" w:sz="4"/>
            </w:tcBorders>
            <w:shd w:fill="E8E8E8" w:val="clear"/>
            <w:tcMar>
              <w:top w:type="dxa" w:w="70"/>
              <w:left w:type="dxa" w:w="110"/>
              <w:bottom w:type="dxa" w:w="70"/>
              <w:right w:type="dxa" w:w="110"/>
            </w:tcMar>
          </w:tcPr>
          <w:p>
            <w:pPr>
              <w:spacing w:after="30"/>
            </w:pPr>
            <w:r>
              <w:rPr>
                <w:rFonts w:ascii="Times New Roman" w:cs="Times New Roman" w:eastAsia="Times New Roman" w:hAnsi="Times New Roman"/>
                <w:b/>
                <w:bCs/>
                <w:sz w:val="22"/>
                <w:szCs w:val="22"/>
              </w:rPr>
              <w:t xml:space="preserve">Student ID</w:t>
            </w:r>
          </w:p>
        </w:tc>
        <w:tc>
          <w:tcPr>
            <w:tcW w:type="dxa" w:w="2200"/>
            <w:tcBorders>
              <w:top w:val="single" w:color="888888" w:sz="4"/>
              <w:left w:val="single" w:color="888888" w:sz="4"/>
              <w:bottom w:val="single" w:color="888888" w:sz="4"/>
              <w:right w:val="single" w:color="888888" w:sz="4"/>
            </w:tcBorders>
            <w:shd w:fill="E8E8E8" w:val="clear"/>
            <w:tcMar>
              <w:top w:type="dxa" w:w="70"/>
              <w:left w:type="dxa" w:w="110"/>
              <w:bottom w:type="dxa" w:w="70"/>
              <w:right w:type="dxa" w:w="110"/>
            </w:tcMar>
          </w:tcPr>
          <w:p>
            <w:pPr>
              <w:spacing w:after="30"/>
            </w:pPr>
            <w:r>
              <w:rPr>
                <w:rFonts w:ascii="Times New Roman" w:cs="Times New Roman" w:eastAsia="Times New Roman" w:hAnsi="Times New Roman"/>
                <w:b/>
                <w:bCs/>
                <w:sz w:val="22"/>
                <w:szCs w:val="22"/>
              </w:rPr>
              <w:t xml:space="preserve">Role</w:t>
            </w:r>
          </w:p>
        </w:tc>
        <w:tc>
          <w:tcPr>
            <w:tcW w:type="dxa" w:w="3360"/>
            <w:tcBorders>
              <w:top w:val="single" w:color="888888" w:sz="4"/>
              <w:left w:val="single" w:color="888888" w:sz="4"/>
              <w:bottom w:val="single" w:color="888888" w:sz="4"/>
              <w:right w:val="single" w:color="888888" w:sz="4"/>
            </w:tcBorders>
            <w:shd w:fill="E8E8E8" w:val="clear"/>
            <w:tcMar>
              <w:top w:type="dxa" w:w="70"/>
              <w:left w:type="dxa" w:w="110"/>
              <w:bottom w:type="dxa" w:w="70"/>
              <w:right w:type="dxa" w:w="110"/>
            </w:tcMar>
          </w:tcPr>
          <w:p>
            <w:pPr>
              <w:spacing w:after="30"/>
            </w:pPr>
            <w:r>
              <w:rPr>
                <w:rFonts w:ascii="Times New Roman" w:cs="Times New Roman" w:eastAsia="Times New Roman" w:hAnsi="Times New Roman"/>
                <w:b/>
                <w:bCs/>
                <w:sz w:val="22"/>
                <w:szCs w:val="22"/>
              </w:rPr>
              <w:t xml:space="preserve">Email</w:t>
            </w:r>
          </w:p>
        </w:tc>
      </w:tr>
      <w:tr>
        <w:tc>
          <w:tcPr>
            <w:tcW w:type="dxa" w:w="1800"/>
            <w:tcBorders>
              <w:top w:val="single" w:color="888888" w:sz="4"/>
              <w:left w:val="single" w:color="888888" w:sz="4"/>
              <w:bottom w:val="single" w:color="888888" w:sz="4"/>
              <w:right w:val="single" w:color="888888" w:sz="4"/>
            </w:tcBorders>
            <w:tcMar>
              <w:top w:type="dxa" w:w="70"/>
              <w:left w:type="dxa" w:w="110"/>
              <w:bottom w:type="dxa" w:w="70"/>
              <w:right w:type="dxa" w:w="110"/>
            </w:tcMar>
          </w:tcPr>
          <w:p>
            <w:pPr>
              <w:spacing w:after="30"/>
            </w:pPr>
            <w:r>
              <w:rPr>
                <w:rFonts w:ascii="Times New Roman" w:cs="Times New Roman" w:eastAsia="Times New Roman" w:hAnsi="Times New Roman"/>
                <w:sz w:val="22"/>
                <w:szCs w:val="22"/>
              </w:rPr>
              <w:t xml:space="preserve">Amogh</w:t>
            </w:r>
          </w:p>
        </w:tc>
        <w:tc>
          <w:tcPr>
            <w:tcW w:type="dxa" w:w="2000"/>
            <w:tcBorders>
              <w:top w:val="single" w:color="888888" w:sz="4"/>
              <w:left w:val="single" w:color="888888" w:sz="4"/>
              <w:bottom w:val="single" w:color="888888" w:sz="4"/>
              <w:right w:val="single" w:color="888888" w:sz="4"/>
            </w:tcBorders>
            <w:tcMar>
              <w:top w:type="dxa" w:w="70"/>
              <w:left w:type="dxa" w:w="110"/>
              <w:bottom w:type="dxa" w:w="70"/>
              <w:right w:type="dxa" w:w="110"/>
            </w:tcMar>
          </w:tcPr>
          <w:p>
            <w:pPr>
              <w:spacing w:after="30"/>
            </w:pPr>
            <w:r>
              <w:rPr>
                <w:rFonts w:ascii="Times New Roman" w:cs="Times New Roman" w:eastAsia="Times New Roman" w:hAnsi="Times New Roman"/>
                <w:sz w:val="22"/>
                <w:szCs w:val="22"/>
              </w:rPr>
              <w:t xml:space="preserve">SE23UCSE022</w:t>
            </w:r>
          </w:p>
        </w:tc>
        <w:tc>
          <w:tcPr>
            <w:tcW w:type="dxa" w:w="2200"/>
            <w:tcBorders>
              <w:top w:val="single" w:color="888888" w:sz="4"/>
              <w:left w:val="single" w:color="888888" w:sz="4"/>
              <w:bottom w:val="single" w:color="888888" w:sz="4"/>
              <w:right w:val="single" w:color="888888" w:sz="4"/>
            </w:tcBorders>
            <w:tcMar>
              <w:top w:type="dxa" w:w="70"/>
              <w:left w:type="dxa" w:w="110"/>
              <w:bottom w:type="dxa" w:w="70"/>
              <w:right w:type="dxa" w:w="110"/>
            </w:tcMar>
          </w:tcPr>
          <w:p>
            <w:pPr>
              <w:spacing w:after="30"/>
            </w:pPr>
            <w:r>
              <w:rPr>
                <w:rFonts w:ascii="Times New Roman" w:cs="Times New Roman" w:eastAsia="Times New Roman" w:hAnsi="Times New Roman"/>
                <w:sz w:val="22"/>
                <w:szCs w:val="22"/>
              </w:rPr>
              <w:t xml:space="preserve">Database</w:t>
            </w:r>
          </w:p>
        </w:tc>
        <w:tc>
          <w:tcPr>
            <w:tcW w:type="dxa" w:w="3360"/>
            <w:tcBorders>
              <w:top w:val="single" w:color="888888" w:sz="4"/>
              <w:left w:val="single" w:color="888888" w:sz="4"/>
              <w:bottom w:val="single" w:color="888888" w:sz="4"/>
              <w:right w:val="single" w:color="888888" w:sz="4"/>
            </w:tcBorders>
            <w:tcMar>
              <w:top w:type="dxa" w:w="70"/>
              <w:left w:type="dxa" w:w="110"/>
              <w:bottom w:type="dxa" w:w="70"/>
              <w:right w:type="dxa" w:w="110"/>
            </w:tcMar>
          </w:tcPr>
          <w:p>
            <w:pPr>
              <w:spacing w:after="30"/>
            </w:pPr>
            <w:r>
              <w:rPr>
                <w:rFonts w:ascii="Times New Roman" w:cs="Times New Roman" w:eastAsia="Times New Roman" w:hAnsi="Times New Roman"/>
                <w:sz w:val="22"/>
                <w:szCs w:val="22"/>
              </w:rPr>
              <w:t xml:space="preserve">se23ucse022@mahindrauniversity.edu.in</w:t>
            </w:r>
          </w:p>
        </w:tc>
      </w:tr>
      <w:tr>
        <w:tc>
          <w:tcPr>
            <w:tcW w:type="dxa" w:w="1800"/>
            <w:tcBorders>
              <w:top w:val="single" w:color="888888" w:sz="4"/>
              <w:left w:val="single" w:color="888888" w:sz="4"/>
              <w:bottom w:val="single" w:color="888888" w:sz="4"/>
              <w:right w:val="single" w:color="888888" w:sz="4"/>
            </w:tcBorders>
            <w:tcMar>
              <w:top w:type="dxa" w:w="70"/>
              <w:left w:type="dxa" w:w="110"/>
              <w:bottom w:type="dxa" w:w="70"/>
              <w:right w:type="dxa" w:w="110"/>
            </w:tcMar>
          </w:tcPr>
          <w:p>
            <w:pPr>
              <w:spacing w:after="30"/>
            </w:pPr>
            <w:r>
              <w:rPr>
                <w:rFonts w:ascii="Times New Roman" w:cs="Times New Roman" w:eastAsia="Times New Roman" w:hAnsi="Times New Roman"/>
                <w:sz w:val="22"/>
                <w:szCs w:val="22"/>
              </w:rPr>
              <w:t xml:space="preserve">Venkat</w:t>
            </w:r>
          </w:p>
        </w:tc>
        <w:tc>
          <w:tcPr>
            <w:tcW w:type="dxa" w:w="2000"/>
            <w:tcBorders>
              <w:top w:val="single" w:color="888888" w:sz="4"/>
              <w:left w:val="single" w:color="888888" w:sz="4"/>
              <w:bottom w:val="single" w:color="888888" w:sz="4"/>
              <w:right w:val="single" w:color="888888" w:sz="4"/>
            </w:tcBorders>
            <w:tcMar>
              <w:top w:type="dxa" w:w="70"/>
              <w:left w:type="dxa" w:w="110"/>
              <w:bottom w:type="dxa" w:w="70"/>
              <w:right w:type="dxa" w:w="110"/>
            </w:tcMar>
          </w:tcPr>
          <w:p>
            <w:pPr>
              <w:spacing w:after="30"/>
            </w:pPr>
            <w:r>
              <w:rPr>
                <w:rFonts w:ascii="Times New Roman" w:cs="Times New Roman" w:eastAsia="Times New Roman" w:hAnsi="Times New Roman"/>
                <w:sz w:val="22"/>
                <w:szCs w:val="22"/>
              </w:rPr>
              <w:t xml:space="preserve">SE23UCSE001</w:t>
            </w:r>
          </w:p>
        </w:tc>
        <w:tc>
          <w:tcPr>
            <w:tcW w:type="dxa" w:w="2200"/>
            <w:tcBorders>
              <w:top w:val="single" w:color="888888" w:sz="4"/>
              <w:left w:val="single" w:color="888888" w:sz="4"/>
              <w:bottom w:val="single" w:color="888888" w:sz="4"/>
              <w:right w:val="single" w:color="888888" w:sz="4"/>
            </w:tcBorders>
            <w:tcMar>
              <w:top w:type="dxa" w:w="70"/>
              <w:left w:type="dxa" w:w="110"/>
              <w:bottom w:type="dxa" w:w="70"/>
              <w:right w:type="dxa" w:w="110"/>
            </w:tcMar>
          </w:tcPr>
          <w:p>
            <w:pPr>
              <w:spacing w:after="30"/>
            </w:pPr>
            <w:r>
              <w:rPr>
                <w:rFonts w:ascii="Times New Roman" w:cs="Times New Roman" w:eastAsia="Times New Roman" w:hAnsi="Times New Roman"/>
                <w:sz w:val="22"/>
                <w:szCs w:val="22"/>
              </w:rPr>
              <w:t xml:space="preserve">ML / DL</w:t>
            </w:r>
          </w:p>
        </w:tc>
        <w:tc>
          <w:tcPr>
            <w:tcW w:type="dxa" w:w="3360"/>
            <w:tcBorders>
              <w:top w:val="single" w:color="888888" w:sz="4"/>
              <w:left w:val="single" w:color="888888" w:sz="4"/>
              <w:bottom w:val="single" w:color="888888" w:sz="4"/>
              <w:right w:val="single" w:color="888888" w:sz="4"/>
            </w:tcBorders>
            <w:tcMar>
              <w:top w:type="dxa" w:w="70"/>
              <w:left w:type="dxa" w:w="110"/>
              <w:bottom w:type="dxa" w:w="70"/>
              <w:right w:type="dxa" w:w="110"/>
            </w:tcMar>
          </w:tcPr>
          <w:p>
            <w:pPr>
              <w:spacing w:after="30"/>
            </w:pPr>
            <w:r>
              <w:rPr>
                <w:rFonts w:ascii="Times New Roman" w:cs="Times New Roman" w:eastAsia="Times New Roman" w:hAnsi="Times New Roman"/>
                <w:sz w:val="22"/>
                <w:szCs w:val="22"/>
              </w:rPr>
              <w:t xml:space="preserve">se23ucse001@mahindrauniversity.edu.in</w:t>
            </w:r>
          </w:p>
        </w:tc>
      </w:tr>
      <w:tr>
        <w:tc>
          <w:tcPr>
            <w:tcW w:type="dxa" w:w="1800"/>
            <w:tcBorders>
              <w:top w:val="single" w:color="888888" w:sz="4"/>
              <w:left w:val="single" w:color="888888" w:sz="4"/>
              <w:bottom w:val="single" w:color="888888" w:sz="4"/>
              <w:right w:val="single" w:color="888888" w:sz="4"/>
            </w:tcBorders>
            <w:tcMar>
              <w:top w:type="dxa" w:w="70"/>
              <w:left w:type="dxa" w:w="110"/>
              <w:bottom w:type="dxa" w:w="70"/>
              <w:right w:type="dxa" w:w="110"/>
            </w:tcMar>
          </w:tcPr>
          <w:p>
            <w:pPr>
              <w:spacing w:after="30"/>
            </w:pPr>
            <w:r>
              <w:rPr>
                <w:rFonts w:ascii="Times New Roman" w:cs="Times New Roman" w:eastAsia="Times New Roman" w:hAnsi="Times New Roman"/>
                <w:sz w:val="22"/>
                <w:szCs w:val="22"/>
              </w:rPr>
              <w:t xml:space="preserve">Vivardhan</w:t>
            </w:r>
          </w:p>
        </w:tc>
        <w:tc>
          <w:tcPr>
            <w:tcW w:type="dxa" w:w="2000"/>
            <w:tcBorders>
              <w:top w:val="single" w:color="888888" w:sz="4"/>
              <w:left w:val="single" w:color="888888" w:sz="4"/>
              <w:bottom w:val="single" w:color="888888" w:sz="4"/>
              <w:right w:val="single" w:color="888888" w:sz="4"/>
            </w:tcBorders>
            <w:tcMar>
              <w:top w:type="dxa" w:w="70"/>
              <w:left w:type="dxa" w:w="110"/>
              <w:bottom w:type="dxa" w:w="70"/>
              <w:right w:type="dxa" w:w="110"/>
            </w:tcMar>
          </w:tcPr>
          <w:p>
            <w:pPr>
              <w:spacing w:after="30"/>
            </w:pPr>
            <w:r>
              <w:rPr>
                <w:rFonts w:ascii="Times New Roman" w:cs="Times New Roman" w:eastAsia="Times New Roman" w:hAnsi="Times New Roman"/>
                <w:sz w:val="22"/>
                <w:szCs w:val="22"/>
              </w:rPr>
              <w:t xml:space="preserve">SE23UCSE006</w:t>
            </w:r>
          </w:p>
        </w:tc>
        <w:tc>
          <w:tcPr>
            <w:tcW w:type="dxa" w:w="2200"/>
            <w:tcBorders>
              <w:top w:val="single" w:color="888888" w:sz="4"/>
              <w:left w:val="single" w:color="888888" w:sz="4"/>
              <w:bottom w:val="single" w:color="888888" w:sz="4"/>
              <w:right w:val="single" w:color="888888" w:sz="4"/>
            </w:tcBorders>
            <w:tcMar>
              <w:top w:type="dxa" w:w="70"/>
              <w:left w:type="dxa" w:w="110"/>
              <w:bottom w:type="dxa" w:w="70"/>
              <w:right w:type="dxa" w:w="110"/>
            </w:tcMar>
          </w:tcPr>
          <w:p>
            <w:pPr>
              <w:spacing w:after="30"/>
            </w:pPr>
            <w:r>
              <w:rPr>
                <w:rFonts w:ascii="Times New Roman" w:cs="Times New Roman" w:eastAsia="Times New Roman" w:hAnsi="Times New Roman"/>
                <w:sz w:val="22"/>
                <w:szCs w:val="22"/>
              </w:rPr>
              <w:t xml:space="preserve">ML / DL</w:t>
            </w:r>
          </w:p>
        </w:tc>
        <w:tc>
          <w:tcPr>
            <w:tcW w:type="dxa" w:w="3360"/>
            <w:tcBorders>
              <w:top w:val="single" w:color="888888" w:sz="4"/>
              <w:left w:val="single" w:color="888888" w:sz="4"/>
              <w:bottom w:val="single" w:color="888888" w:sz="4"/>
              <w:right w:val="single" w:color="888888" w:sz="4"/>
            </w:tcBorders>
            <w:tcMar>
              <w:top w:type="dxa" w:w="70"/>
              <w:left w:type="dxa" w:w="110"/>
              <w:bottom w:type="dxa" w:w="70"/>
              <w:right w:type="dxa" w:w="110"/>
            </w:tcMar>
          </w:tcPr>
          <w:p>
            <w:pPr>
              <w:spacing w:after="30"/>
            </w:pPr>
            <w:r>
              <w:rPr>
                <w:rFonts w:ascii="Times New Roman" w:cs="Times New Roman" w:eastAsia="Times New Roman" w:hAnsi="Times New Roman"/>
                <w:sz w:val="22"/>
                <w:szCs w:val="22"/>
              </w:rPr>
              <w:t xml:space="preserve">se23ucse006@mahindrauniversity.edu.in</w:t>
            </w:r>
          </w:p>
        </w:tc>
      </w:tr>
      <w:tr>
        <w:tc>
          <w:tcPr>
            <w:tcW w:type="dxa" w:w="1800"/>
            <w:tcBorders>
              <w:top w:val="single" w:color="888888" w:sz="4"/>
              <w:left w:val="single" w:color="888888" w:sz="4"/>
              <w:bottom w:val="single" w:color="888888" w:sz="4"/>
              <w:right w:val="single" w:color="888888" w:sz="4"/>
            </w:tcBorders>
            <w:tcMar>
              <w:top w:type="dxa" w:w="70"/>
              <w:left w:type="dxa" w:w="110"/>
              <w:bottom w:type="dxa" w:w="70"/>
              <w:right w:type="dxa" w:w="110"/>
            </w:tcMar>
          </w:tcPr>
          <w:p>
            <w:pPr>
              <w:spacing w:after="30"/>
            </w:pPr>
            <w:r>
              <w:rPr>
                <w:rFonts w:ascii="Times New Roman" w:cs="Times New Roman" w:eastAsia="Times New Roman" w:hAnsi="Times New Roman"/>
                <w:sz w:val="22"/>
                <w:szCs w:val="22"/>
              </w:rPr>
              <w:t xml:space="preserve">Vishwanath</w:t>
            </w:r>
          </w:p>
        </w:tc>
        <w:tc>
          <w:tcPr>
            <w:tcW w:type="dxa" w:w="2000"/>
            <w:tcBorders>
              <w:top w:val="single" w:color="888888" w:sz="4"/>
              <w:left w:val="single" w:color="888888" w:sz="4"/>
              <w:bottom w:val="single" w:color="888888" w:sz="4"/>
              <w:right w:val="single" w:color="888888" w:sz="4"/>
            </w:tcBorders>
            <w:tcMar>
              <w:top w:type="dxa" w:w="70"/>
              <w:left w:type="dxa" w:w="110"/>
              <w:bottom w:type="dxa" w:w="70"/>
              <w:right w:type="dxa" w:w="110"/>
            </w:tcMar>
          </w:tcPr>
          <w:p>
            <w:pPr>
              <w:spacing w:after="30"/>
            </w:pPr>
            <w:r>
              <w:rPr>
                <w:rFonts w:ascii="Times New Roman" w:cs="Times New Roman" w:eastAsia="Times New Roman" w:hAnsi="Times New Roman"/>
                <w:sz w:val="22"/>
                <w:szCs w:val="22"/>
              </w:rPr>
              <w:t xml:space="preserve">SE23UCSE208</w:t>
            </w:r>
          </w:p>
        </w:tc>
        <w:tc>
          <w:tcPr>
            <w:tcW w:type="dxa" w:w="2200"/>
            <w:tcBorders>
              <w:top w:val="single" w:color="888888" w:sz="4"/>
              <w:left w:val="single" w:color="888888" w:sz="4"/>
              <w:bottom w:val="single" w:color="888888" w:sz="4"/>
              <w:right w:val="single" w:color="888888" w:sz="4"/>
            </w:tcBorders>
            <w:tcMar>
              <w:top w:type="dxa" w:w="70"/>
              <w:left w:type="dxa" w:w="110"/>
              <w:bottom w:type="dxa" w:w="70"/>
              <w:right w:type="dxa" w:w="110"/>
            </w:tcMar>
          </w:tcPr>
          <w:p>
            <w:pPr>
              <w:spacing w:after="30"/>
            </w:pPr>
            <w:r>
              <w:rPr>
                <w:rFonts w:ascii="Times New Roman" w:cs="Times New Roman" w:eastAsia="Times New Roman" w:hAnsi="Times New Roman"/>
                <w:sz w:val="22"/>
                <w:szCs w:val="22"/>
              </w:rPr>
              <w:t xml:space="preserve">UI / UX</w:t>
            </w:r>
          </w:p>
        </w:tc>
        <w:tc>
          <w:tcPr>
            <w:tcW w:type="dxa" w:w="3360"/>
            <w:tcBorders>
              <w:top w:val="single" w:color="888888" w:sz="4"/>
              <w:left w:val="single" w:color="888888" w:sz="4"/>
              <w:bottom w:val="single" w:color="888888" w:sz="4"/>
              <w:right w:val="single" w:color="888888" w:sz="4"/>
            </w:tcBorders>
            <w:tcMar>
              <w:top w:type="dxa" w:w="70"/>
              <w:left w:type="dxa" w:w="110"/>
              <w:bottom w:type="dxa" w:w="70"/>
              <w:right w:type="dxa" w:w="110"/>
            </w:tcMar>
          </w:tcPr>
          <w:p>
            <w:pPr>
              <w:spacing w:after="30"/>
            </w:pPr>
            <w:r>
              <w:rPr>
                <w:rFonts w:ascii="Times New Roman" w:cs="Times New Roman" w:eastAsia="Times New Roman" w:hAnsi="Times New Roman"/>
                <w:sz w:val="22"/>
                <w:szCs w:val="22"/>
              </w:rPr>
              <w:t xml:space="preserve">se23ucse208@mahindrauniversity.edu.in</w:t>
            </w:r>
          </w:p>
        </w:tc>
      </w:tr>
      <w:tr>
        <w:tc>
          <w:tcPr>
            <w:tcW w:type="dxa" w:w="1800"/>
            <w:tcBorders>
              <w:top w:val="single" w:color="888888" w:sz="4"/>
              <w:left w:val="single" w:color="888888" w:sz="4"/>
              <w:bottom w:val="single" w:color="888888" w:sz="4"/>
              <w:right w:val="single" w:color="888888" w:sz="4"/>
            </w:tcBorders>
            <w:tcMar>
              <w:top w:type="dxa" w:w="70"/>
              <w:left w:type="dxa" w:w="110"/>
              <w:bottom w:type="dxa" w:w="70"/>
              <w:right w:type="dxa" w:w="110"/>
            </w:tcMar>
          </w:tcPr>
          <w:p>
            <w:pPr>
              <w:spacing w:after="30"/>
            </w:pPr>
            <w:r>
              <w:rPr>
                <w:rFonts w:ascii="Times New Roman" w:cs="Times New Roman" w:eastAsia="Times New Roman" w:hAnsi="Times New Roman"/>
                <w:sz w:val="22"/>
                <w:szCs w:val="22"/>
              </w:rPr>
              <w:t xml:space="preserve">Charan</w:t>
            </w:r>
          </w:p>
        </w:tc>
        <w:tc>
          <w:tcPr>
            <w:tcW w:type="dxa" w:w="2000"/>
            <w:tcBorders>
              <w:top w:val="single" w:color="888888" w:sz="4"/>
              <w:left w:val="single" w:color="888888" w:sz="4"/>
              <w:bottom w:val="single" w:color="888888" w:sz="4"/>
              <w:right w:val="single" w:color="888888" w:sz="4"/>
            </w:tcBorders>
            <w:tcMar>
              <w:top w:type="dxa" w:w="70"/>
              <w:left w:type="dxa" w:w="110"/>
              <w:bottom w:type="dxa" w:w="70"/>
              <w:right w:type="dxa" w:w="110"/>
            </w:tcMar>
          </w:tcPr>
          <w:p>
            <w:pPr>
              <w:spacing w:after="30"/>
            </w:pPr>
            <w:r>
              <w:rPr>
                <w:rFonts w:ascii="Times New Roman" w:cs="Times New Roman" w:eastAsia="Times New Roman" w:hAnsi="Times New Roman"/>
                <w:sz w:val="22"/>
                <w:szCs w:val="22"/>
              </w:rPr>
              <w:t xml:space="preserve">SE23UCSE005</w:t>
            </w:r>
          </w:p>
        </w:tc>
        <w:tc>
          <w:tcPr>
            <w:tcW w:type="dxa" w:w="2200"/>
            <w:tcBorders>
              <w:top w:val="single" w:color="888888" w:sz="4"/>
              <w:left w:val="single" w:color="888888" w:sz="4"/>
              <w:bottom w:val="single" w:color="888888" w:sz="4"/>
              <w:right w:val="single" w:color="888888" w:sz="4"/>
            </w:tcBorders>
            <w:tcMar>
              <w:top w:type="dxa" w:w="70"/>
              <w:left w:type="dxa" w:w="110"/>
              <w:bottom w:type="dxa" w:w="70"/>
              <w:right w:type="dxa" w:w="110"/>
            </w:tcMar>
          </w:tcPr>
          <w:p>
            <w:pPr>
              <w:spacing w:after="30"/>
            </w:pPr>
            <w:r>
              <w:rPr>
                <w:rFonts w:ascii="Times New Roman" w:cs="Times New Roman" w:eastAsia="Times New Roman" w:hAnsi="Times New Roman"/>
                <w:sz w:val="22"/>
                <w:szCs w:val="22"/>
              </w:rPr>
              <w:t xml:space="preserve">UI / UX</w:t>
            </w:r>
          </w:p>
        </w:tc>
        <w:tc>
          <w:tcPr>
            <w:tcW w:type="dxa" w:w="3360"/>
            <w:tcBorders>
              <w:top w:val="single" w:color="888888" w:sz="4"/>
              <w:left w:val="single" w:color="888888" w:sz="4"/>
              <w:bottom w:val="single" w:color="888888" w:sz="4"/>
              <w:right w:val="single" w:color="888888" w:sz="4"/>
            </w:tcBorders>
            <w:tcMar>
              <w:top w:type="dxa" w:w="70"/>
              <w:left w:type="dxa" w:w="110"/>
              <w:bottom w:type="dxa" w:w="70"/>
              <w:right w:type="dxa" w:w="110"/>
            </w:tcMar>
          </w:tcPr>
          <w:p>
            <w:pPr>
              <w:spacing w:after="30"/>
            </w:pPr>
            <w:r>
              <w:rPr>
                <w:rFonts w:ascii="Times New Roman" w:cs="Times New Roman" w:eastAsia="Times New Roman" w:hAnsi="Times New Roman"/>
                <w:sz w:val="22"/>
                <w:szCs w:val="22"/>
              </w:rPr>
              <w:t xml:space="preserve">se23ucse005@mahindrauniversity.edu.in</w:t>
            </w:r>
          </w:p>
        </w:tc>
      </w:tr>
      <w:tr>
        <w:tc>
          <w:tcPr>
            <w:tcW w:type="dxa" w:w="1800"/>
            <w:tcBorders>
              <w:top w:val="single" w:color="888888" w:sz="4"/>
              <w:left w:val="single" w:color="888888" w:sz="4"/>
              <w:bottom w:val="single" w:color="888888" w:sz="4"/>
              <w:right w:val="single" w:color="888888" w:sz="4"/>
            </w:tcBorders>
            <w:tcMar>
              <w:top w:type="dxa" w:w="70"/>
              <w:left w:type="dxa" w:w="110"/>
              <w:bottom w:type="dxa" w:w="70"/>
              <w:right w:type="dxa" w:w="110"/>
            </w:tcMar>
          </w:tcPr>
          <w:p>
            <w:pPr>
              <w:spacing w:after="30"/>
            </w:pPr>
            <w:r>
              <w:rPr>
                <w:rFonts w:ascii="Times New Roman" w:cs="Times New Roman" w:eastAsia="Times New Roman" w:hAnsi="Times New Roman"/>
                <w:sz w:val="22"/>
                <w:szCs w:val="22"/>
              </w:rPr>
              <w:t xml:space="preserve">Koushik</w:t>
            </w:r>
          </w:p>
        </w:tc>
        <w:tc>
          <w:tcPr>
            <w:tcW w:type="dxa" w:w="2000"/>
            <w:tcBorders>
              <w:top w:val="single" w:color="888888" w:sz="4"/>
              <w:left w:val="single" w:color="888888" w:sz="4"/>
              <w:bottom w:val="single" w:color="888888" w:sz="4"/>
              <w:right w:val="single" w:color="888888" w:sz="4"/>
            </w:tcBorders>
            <w:tcMar>
              <w:top w:type="dxa" w:w="70"/>
              <w:left w:type="dxa" w:w="110"/>
              <w:bottom w:type="dxa" w:w="70"/>
              <w:right w:type="dxa" w:w="110"/>
            </w:tcMar>
          </w:tcPr>
          <w:p>
            <w:pPr>
              <w:spacing w:after="30"/>
            </w:pPr>
            <w:r>
              <w:rPr>
                <w:rFonts w:ascii="Times New Roman" w:cs="Times New Roman" w:eastAsia="Times New Roman" w:hAnsi="Times New Roman"/>
                <w:sz w:val="22"/>
                <w:szCs w:val="22"/>
              </w:rPr>
              <w:t xml:space="preserve">SE23UCSE096</w:t>
            </w:r>
          </w:p>
        </w:tc>
        <w:tc>
          <w:tcPr>
            <w:tcW w:type="dxa" w:w="2200"/>
            <w:tcBorders>
              <w:top w:val="single" w:color="888888" w:sz="4"/>
              <w:left w:val="single" w:color="888888" w:sz="4"/>
              <w:bottom w:val="single" w:color="888888" w:sz="4"/>
              <w:right w:val="single" w:color="888888" w:sz="4"/>
            </w:tcBorders>
            <w:tcMar>
              <w:top w:type="dxa" w:w="70"/>
              <w:left w:type="dxa" w:w="110"/>
              <w:bottom w:type="dxa" w:w="70"/>
              <w:right w:type="dxa" w:w="110"/>
            </w:tcMar>
          </w:tcPr>
          <w:p>
            <w:pPr>
              <w:spacing w:after="30"/>
            </w:pPr>
            <w:r>
              <w:rPr>
                <w:rFonts w:ascii="Times New Roman" w:cs="Times New Roman" w:eastAsia="Times New Roman" w:hAnsi="Times New Roman"/>
                <w:sz w:val="22"/>
                <w:szCs w:val="22"/>
              </w:rPr>
              <w:t xml:space="preserve">Backend</w:t>
            </w:r>
          </w:p>
        </w:tc>
        <w:tc>
          <w:tcPr>
            <w:tcW w:type="dxa" w:w="3360"/>
            <w:tcBorders>
              <w:top w:val="single" w:color="888888" w:sz="4"/>
              <w:left w:val="single" w:color="888888" w:sz="4"/>
              <w:bottom w:val="single" w:color="888888" w:sz="4"/>
              <w:right w:val="single" w:color="888888" w:sz="4"/>
            </w:tcBorders>
            <w:tcMar>
              <w:top w:type="dxa" w:w="70"/>
              <w:left w:type="dxa" w:w="110"/>
              <w:bottom w:type="dxa" w:w="70"/>
              <w:right w:type="dxa" w:w="110"/>
            </w:tcMar>
          </w:tcPr>
          <w:p>
            <w:pPr>
              <w:spacing w:after="30"/>
            </w:pPr>
            <w:r>
              <w:rPr>
                <w:rFonts w:ascii="Times New Roman" w:cs="Times New Roman" w:eastAsia="Times New Roman" w:hAnsi="Times New Roman"/>
                <w:sz w:val="22"/>
                <w:szCs w:val="22"/>
              </w:rPr>
              <w:t xml:space="preserve">se23ucse096@mahindrauniversity.edu.in</w:t>
            </w:r>
          </w:p>
        </w:tc>
      </w:tr>
    </w:tbl>
    <w:p>
      <w:r>
        <w:br w:type="page"/>
      </w:r>
    </w:p>
    <w:p>
      <w:pPr>
        <w:pStyle w:val="Heading2"/>
        <w:spacing w:after="100" w:before="200"/>
      </w:pPr>
      <w:r>
        <w:rPr>
          <w:rFonts w:ascii="Times New Roman" w:cs="Times New Roman" w:eastAsia="Times New Roman" w:hAnsi="Times New Roman"/>
          <w:b/>
          <w:bCs/>
          <w:sz w:val="25"/>
          <w:szCs w:val="25"/>
        </w:rPr>
        <w:t xml:space="preserve">Document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888888" w:sz="4"/>
              <w:left w:val="single" w:color="888888" w:sz="4"/>
              <w:bottom w:val="single" w:color="888888" w:sz="4"/>
              <w:right w:val="single" w:color="888888" w:sz="4"/>
            </w:tcBorders>
            <w:shd w:fill="E8E8E8" w:val="clear"/>
            <w:tcMar>
              <w:top w:type="dxa" w:w="70"/>
              <w:left w:type="dxa" w:w="110"/>
              <w:bottom w:type="dxa" w:w="70"/>
              <w:right w:type="dxa" w:w="110"/>
            </w:tcMar>
          </w:tcPr>
          <w:p>
            <w:pPr>
              <w:spacing w:after="30"/>
            </w:pPr>
            <w:r>
              <w:rPr>
                <w:rFonts w:ascii="Times New Roman" w:cs="Times New Roman" w:eastAsia="Times New Roman" w:hAnsi="Times New Roman"/>
                <w:b/>
                <w:bCs/>
                <w:sz w:val="22"/>
                <w:szCs w:val="22"/>
              </w:rPr>
              <w:t xml:space="preserve">Title</w:t>
            </w:r>
          </w:p>
        </w:tc>
        <w:tc>
          <w:tcPr>
            <w:tcW w:type="dxa" w:w="6360"/>
            <w:tcBorders>
              <w:top w:val="single" w:color="888888" w:sz="4"/>
              <w:left w:val="single" w:color="888888" w:sz="4"/>
              <w:bottom w:val="single" w:color="888888" w:sz="4"/>
              <w:right w:val="single" w:color="888888" w:sz="4"/>
            </w:tcBorders>
            <w:shd w:fill="E8E8E8" w:val="clear"/>
            <w:tcMar>
              <w:top w:type="dxa" w:w="70"/>
              <w:left w:type="dxa" w:w="110"/>
              <w:bottom w:type="dxa" w:w="70"/>
              <w:right w:type="dxa" w:w="110"/>
            </w:tcMar>
          </w:tcPr>
          <w:p>
            <w:pPr>
              <w:spacing w:after="30"/>
            </w:pPr>
            <w:r>
              <w:rPr>
                <w:rFonts w:ascii="Times New Roman" w:cs="Times New Roman" w:eastAsia="Times New Roman" w:hAnsi="Times New Roman"/>
                <w:b/>
                <w:bCs/>
                <w:sz w:val="22"/>
                <w:szCs w:val="22"/>
              </w:rPr>
              <w:t xml:space="preserve">Software Design Specification — VAKVIC v1.0</w:t>
            </w:r>
          </w:p>
        </w:tc>
      </w:tr>
      <w:tr>
        <w:tc>
          <w:tcPr>
            <w:tcW w:type="dxa" w:w="3000"/>
            <w:tcBorders>
              <w:top w:val="single" w:color="888888" w:sz="4"/>
              <w:left w:val="single" w:color="888888" w:sz="4"/>
              <w:bottom w:val="single" w:color="888888" w:sz="4"/>
              <w:right w:val="single" w:color="888888" w:sz="4"/>
            </w:tcBorders>
            <w:tcMar>
              <w:top w:type="dxa" w:w="70"/>
              <w:left w:type="dxa" w:w="110"/>
              <w:bottom w:type="dxa" w:w="70"/>
              <w:right w:type="dxa" w:w="110"/>
            </w:tcMar>
          </w:tcPr>
          <w:p>
            <w:pPr>
              <w:spacing w:after="30"/>
            </w:pPr>
            <w:r>
              <w:rPr>
                <w:rFonts w:ascii="Times New Roman" w:cs="Times New Roman" w:eastAsia="Times New Roman" w:hAnsi="Times New Roman"/>
                <w:sz w:val="22"/>
                <w:szCs w:val="22"/>
              </w:rPr>
              <w:t xml:space="preserve">Version</w:t>
            </w:r>
          </w:p>
        </w:tc>
        <w:tc>
          <w:tcPr>
            <w:tcW w:type="dxa" w:w="6360"/>
            <w:tcBorders>
              <w:top w:val="single" w:color="888888" w:sz="4"/>
              <w:left w:val="single" w:color="888888" w:sz="4"/>
              <w:bottom w:val="single" w:color="888888" w:sz="4"/>
              <w:right w:val="single" w:color="888888" w:sz="4"/>
            </w:tcBorders>
            <w:tcMar>
              <w:top w:type="dxa" w:w="70"/>
              <w:left w:type="dxa" w:w="110"/>
              <w:bottom w:type="dxa" w:w="70"/>
              <w:right w:type="dxa" w:w="110"/>
            </w:tcMar>
          </w:tcPr>
          <w:p>
            <w:pPr>
              <w:spacing w:after="30"/>
            </w:pPr>
            <w:r>
              <w:rPr>
                <w:rFonts w:ascii="Times New Roman" w:cs="Times New Roman" w:eastAsia="Times New Roman" w:hAnsi="Times New Roman"/>
                <w:sz w:val="22"/>
                <w:szCs w:val="22"/>
              </w:rPr>
              <w:t xml:space="preserve">1.0</w:t>
            </w:r>
          </w:p>
        </w:tc>
      </w:tr>
      <w:tr>
        <w:tc>
          <w:tcPr>
            <w:tcW w:type="dxa" w:w="3000"/>
            <w:tcBorders>
              <w:top w:val="single" w:color="888888" w:sz="4"/>
              <w:left w:val="single" w:color="888888" w:sz="4"/>
              <w:bottom w:val="single" w:color="888888" w:sz="4"/>
              <w:right w:val="single" w:color="888888" w:sz="4"/>
            </w:tcBorders>
            <w:tcMar>
              <w:top w:type="dxa" w:w="70"/>
              <w:left w:type="dxa" w:w="110"/>
              <w:bottom w:type="dxa" w:w="70"/>
              <w:right w:type="dxa" w:w="110"/>
            </w:tcMar>
          </w:tcPr>
          <w:p>
            <w:pPr>
              <w:spacing w:after="30"/>
            </w:pPr>
            <w:r>
              <w:rPr>
                <w:rFonts w:ascii="Times New Roman" w:cs="Times New Roman" w:eastAsia="Times New Roman" w:hAnsi="Times New Roman"/>
                <w:sz w:val="22"/>
                <w:szCs w:val="22"/>
              </w:rPr>
              <w:t xml:space="preserve">Date</w:t>
            </w:r>
          </w:p>
        </w:tc>
        <w:tc>
          <w:tcPr>
            <w:tcW w:type="dxa" w:w="6360"/>
            <w:tcBorders>
              <w:top w:val="single" w:color="888888" w:sz="4"/>
              <w:left w:val="single" w:color="888888" w:sz="4"/>
              <w:bottom w:val="single" w:color="888888" w:sz="4"/>
              <w:right w:val="single" w:color="888888" w:sz="4"/>
            </w:tcBorders>
            <w:tcMar>
              <w:top w:type="dxa" w:w="70"/>
              <w:left w:type="dxa" w:w="110"/>
              <w:bottom w:type="dxa" w:w="70"/>
              <w:right w:type="dxa" w:w="110"/>
            </w:tcMar>
          </w:tcPr>
          <w:p>
            <w:pPr>
              <w:spacing w:after="30"/>
            </w:pPr>
            <w:r>
              <w:rPr>
                <w:rFonts w:ascii="Times New Roman" w:cs="Times New Roman" w:eastAsia="Times New Roman" w:hAnsi="Times New Roman"/>
                <w:sz w:val="22"/>
                <w:szCs w:val="22"/>
              </w:rPr>
              <w:t xml:space="preserve">April 8, 2026</w:t>
            </w:r>
          </w:p>
        </w:tc>
      </w:tr>
      <w:tr>
        <w:tc>
          <w:tcPr>
            <w:tcW w:type="dxa" w:w="3000"/>
            <w:tcBorders>
              <w:top w:val="single" w:color="888888" w:sz="4"/>
              <w:left w:val="single" w:color="888888" w:sz="4"/>
              <w:bottom w:val="single" w:color="888888" w:sz="4"/>
              <w:right w:val="single" w:color="888888" w:sz="4"/>
            </w:tcBorders>
            <w:tcMar>
              <w:top w:type="dxa" w:w="70"/>
              <w:left w:type="dxa" w:w="110"/>
              <w:bottom w:type="dxa" w:w="70"/>
              <w:right w:type="dxa" w:w="110"/>
            </w:tcMar>
          </w:tcPr>
          <w:p>
            <w:pPr>
              <w:spacing w:after="30"/>
            </w:pPr>
            <w:r>
              <w:rPr>
                <w:rFonts w:ascii="Times New Roman" w:cs="Times New Roman" w:eastAsia="Times New Roman" w:hAnsi="Times New Roman"/>
                <w:sz w:val="22"/>
                <w:szCs w:val="22"/>
              </w:rPr>
              <w:t xml:space="preserve">Prepared By</w:t>
            </w:r>
          </w:p>
        </w:tc>
        <w:tc>
          <w:tcPr>
            <w:tcW w:type="dxa" w:w="6360"/>
            <w:tcBorders>
              <w:top w:val="single" w:color="888888" w:sz="4"/>
              <w:left w:val="single" w:color="888888" w:sz="4"/>
              <w:bottom w:val="single" w:color="888888" w:sz="4"/>
              <w:right w:val="single" w:color="888888" w:sz="4"/>
            </w:tcBorders>
            <w:tcMar>
              <w:top w:type="dxa" w:w="70"/>
              <w:left w:type="dxa" w:w="110"/>
              <w:bottom w:type="dxa" w:w="70"/>
              <w:right w:type="dxa" w:w="110"/>
            </w:tcMar>
          </w:tcPr>
          <w:p>
            <w:pPr>
              <w:spacing w:after="30"/>
            </w:pPr>
            <w:r>
              <w:rPr>
                <w:rFonts w:ascii="Times New Roman" w:cs="Times New Roman" w:eastAsia="Times New Roman" w:hAnsi="Times New Roman"/>
                <w:sz w:val="22"/>
                <w:szCs w:val="22"/>
              </w:rPr>
              <w:t xml:space="preserve">VAKVIC Team (all six members)</w:t>
            </w:r>
          </w:p>
        </w:tc>
      </w:tr>
    </w:tbl>
    <w:p>
      <w:pPr>
        <w:pStyle w:val="Heading2"/>
        <w:spacing w:after="100" w:before="200"/>
      </w:pPr>
      <w:r>
        <w:rPr>
          <w:rFonts w:ascii="Times New Roman" w:cs="Times New Roman" w:eastAsia="Times New Roman" w:hAnsi="Times New Roman"/>
          <w:b/>
          <w:bCs/>
          <w:sz w:val="25"/>
          <w:szCs w:val="25"/>
        </w:rPr>
        <w:t xml:space="preserve">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2000"/>
        <w:gridCol w:w="4760"/>
      </w:tblGrid>
      <w:tr>
        <w:tc>
          <w:tcPr>
            <w:tcW w:type="dxa" w:w="1100"/>
            <w:tcBorders>
              <w:top w:val="single" w:color="888888" w:sz="4"/>
              <w:left w:val="single" w:color="888888" w:sz="4"/>
              <w:bottom w:val="single" w:color="888888" w:sz="4"/>
              <w:right w:val="single" w:color="888888" w:sz="4"/>
            </w:tcBorders>
            <w:shd w:fill="E8E8E8" w:val="clear"/>
            <w:tcMar>
              <w:top w:type="dxa" w:w="70"/>
              <w:left w:type="dxa" w:w="110"/>
              <w:bottom w:type="dxa" w:w="70"/>
              <w:right w:type="dxa" w:w="110"/>
            </w:tcMar>
          </w:tcPr>
          <w:p>
            <w:pPr>
              <w:spacing w:after="30"/>
            </w:pPr>
            <w:r>
              <w:rPr>
                <w:rFonts w:ascii="Times New Roman" w:cs="Times New Roman" w:eastAsia="Times New Roman" w:hAnsi="Times New Roman"/>
                <w:b/>
                <w:bCs/>
                <w:sz w:val="22"/>
                <w:szCs w:val="22"/>
              </w:rPr>
              <w:t xml:space="preserve">Ver.</w:t>
            </w:r>
          </w:p>
        </w:tc>
        <w:tc>
          <w:tcPr>
            <w:tcW w:type="dxa" w:w="1500"/>
            <w:tcBorders>
              <w:top w:val="single" w:color="888888" w:sz="4"/>
              <w:left w:val="single" w:color="888888" w:sz="4"/>
              <w:bottom w:val="single" w:color="888888" w:sz="4"/>
              <w:right w:val="single" w:color="888888" w:sz="4"/>
            </w:tcBorders>
            <w:shd w:fill="E8E8E8" w:val="clear"/>
            <w:tcMar>
              <w:top w:type="dxa" w:w="70"/>
              <w:left w:type="dxa" w:w="110"/>
              <w:bottom w:type="dxa" w:w="70"/>
              <w:right w:type="dxa" w:w="110"/>
            </w:tcMar>
          </w:tcPr>
          <w:p>
            <w:pPr>
              <w:spacing w:after="30"/>
            </w:pPr>
            <w:r>
              <w:rPr>
                <w:rFonts w:ascii="Times New Roman" w:cs="Times New Roman" w:eastAsia="Times New Roman" w:hAnsi="Times New Roman"/>
                <w:b/>
                <w:bCs/>
                <w:sz w:val="22"/>
                <w:szCs w:val="22"/>
              </w:rPr>
              <w:t xml:space="preserve">Date</w:t>
            </w:r>
          </w:p>
        </w:tc>
        <w:tc>
          <w:tcPr>
            <w:tcW w:type="dxa" w:w="2000"/>
            <w:tcBorders>
              <w:top w:val="single" w:color="888888" w:sz="4"/>
              <w:left w:val="single" w:color="888888" w:sz="4"/>
              <w:bottom w:val="single" w:color="888888" w:sz="4"/>
              <w:right w:val="single" w:color="888888" w:sz="4"/>
            </w:tcBorders>
            <w:shd w:fill="E8E8E8" w:val="clear"/>
            <w:tcMar>
              <w:top w:type="dxa" w:w="70"/>
              <w:left w:type="dxa" w:w="110"/>
              <w:bottom w:type="dxa" w:w="70"/>
              <w:right w:type="dxa" w:w="110"/>
            </w:tcMar>
          </w:tcPr>
          <w:p>
            <w:pPr>
              <w:spacing w:after="30"/>
            </w:pPr>
            <w:r>
              <w:rPr>
                <w:rFonts w:ascii="Times New Roman" w:cs="Times New Roman" w:eastAsia="Times New Roman" w:hAnsi="Times New Roman"/>
                <w:b/>
                <w:bCs/>
                <w:sz w:val="22"/>
                <w:szCs w:val="22"/>
              </w:rPr>
              <w:t xml:space="preserve">Revised By</w:t>
            </w:r>
          </w:p>
        </w:tc>
        <w:tc>
          <w:tcPr>
            <w:tcW w:type="dxa" w:w="4760"/>
            <w:tcBorders>
              <w:top w:val="single" w:color="888888" w:sz="4"/>
              <w:left w:val="single" w:color="888888" w:sz="4"/>
              <w:bottom w:val="single" w:color="888888" w:sz="4"/>
              <w:right w:val="single" w:color="888888" w:sz="4"/>
            </w:tcBorders>
            <w:shd w:fill="E8E8E8" w:val="clear"/>
            <w:tcMar>
              <w:top w:type="dxa" w:w="70"/>
              <w:left w:type="dxa" w:w="110"/>
              <w:bottom w:type="dxa" w:w="70"/>
              <w:right w:type="dxa" w:w="110"/>
            </w:tcMar>
          </w:tcPr>
          <w:p>
            <w:pPr>
              <w:spacing w:after="30"/>
            </w:pPr>
            <w:r>
              <w:rPr>
                <w:rFonts w:ascii="Times New Roman" w:cs="Times New Roman" w:eastAsia="Times New Roman" w:hAnsi="Times New Roman"/>
                <w:b/>
                <w:bCs/>
                <w:sz w:val="22"/>
                <w:szCs w:val="22"/>
              </w:rPr>
              <w:t xml:space="preserve">Description</w:t>
            </w:r>
          </w:p>
        </w:tc>
      </w:tr>
      <w:tr>
        <w:tc>
          <w:tcPr>
            <w:tcW w:type="dxa" w:w="1100"/>
            <w:tcBorders>
              <w:top w:val="single" w:color="888888" w:sz="4"/>
              <w:left w:val="single" w:color="888888" w:sz="4"/>
              <w:bottom w:val="single" w:color="888888" w:sz="4"/>
              <w:right w:val="single" w:color="888888" w:sz="4"/>
            </w:tcBorders>
            <w:tcMar>
              <w:top w:type="dxa" w:w="70"/>
              <w:left w:type="dxa" w:w="110"/>
              <w:bottom w:type="dxa" w:w="70"/>
              <w:right w:type="dxa" w:w="110"/>
            </w:tcMar>
          </w:tcPr>
          <w:p>
            <w:pPr>
              <w:spacing w:after="30"/>
            </w:pPr>
            <w:r>
              <w:rPr>
                <w:rFonts w:ascii="Times New Roman" w:cs="Times New Roman" w:eastAsia="Times New Roman" w:hAnsi="Times New Roman"/>
                <w:sz w:val="22"/>
                <w:szCs w:val="22"/>
              </w:rPr>
              <w:t xml:space="preserve">1.0</w:t>
            </w:r>
          </w:p>
        </w:tc>
        <w:tc>
          <w:tcPr>
            <w:tcW w:type="dxa" w:w="1500"/>
            <w:tcBorders>
              <w:top w:val="single" w:color="888888" w:sz="4"/>
              <w:left w:val="single" w:color="888888" w:sz="4"/>
              <w:bottom w:val="single" w:color="888888" w:sz="4"/>
              <w:right w:val="single" w:color="888888" w:sz="4"/>
            </w:tcBorders>
            <w:tcMar>
              <w:top w:type="dxa" w:w="70"/>
              <w:left w:type="dxa" w:w="110"/>
              <w:bottom w:type="dxa" w:w="70"/>
              <w:right w:type="dxa" w:w="110"/>
            </w:tcMar>
          </w:tcPr>
          <w:p>
            <w:pPr>
              <w:spacing w:after="30"/>
            </w:pPr>
            <w:r>
              <w:rPr>
                <w:rFonts w:ascii="Times New Roman" w:cs="Times New Roman" w:eastAsia="Times New Roman" w:hAnsi="Times New Roman"/>
                <w:sz w:val="22"/>
                <w:szCs w:val="22"/>
              </w:rPr>
              <w:t xml:space="preserve">08/04/2026</w:t>
            </w:r>
          </w:p>
        </w:tc>
        <w:tc>
          <w:tcPr>
            <w:tcW w:type="dxa" w:w="2000"/>
            <w:tcBorders>
              <w:top w:val="single" w:color="888888" w:sz="4"/>
              <w:left w:val="single" w:color="888888" w:sz="4"/>
              <w:bottom w:val="single" w:color="888888" w:sz="4"/>
              <w:right w:val="single" w:color="888888" w:sz="4"/>
            </w:tcBorders>
            <w:tcMar>
              <w:top w:type="dxa" w:w="70"/>
              <w:left w:type="dxa" w:w="110"/>
              <w:bottom w:type="dxa" w:w="70"/>
              <w:right w:type="dxa" w:w="110"/>
            </w:tcMar>
          </w:tcPr>
          <w:p>
            <w:pPr>
              <w:spacing w:after="30"/>
            </w:pPr>
            <w:r>
              <w:rPr>
                <w:rFonts w:ascii="Times New Roman" w:cs="Times New Roman" w:eastAsia="Times New Roman" w:hAnsi="Times New Roman"/>
                <w:sz w:val="22"/>
                <w:szCs w:val="22"/>
              </w:rPr>
              <w:t xml:space="preserve">All Team Members</w:t>
            </w:r>
          </w:p>
        </w:tc>
        <w:tc>
          <w:tcPr>
            <w:tcW w:type="dxa" w:w="4760"/>
            <w:tcBorders>
              <w:top w:val="single" w:color="888888" w:sz="4"/>
              <w:left w:val="single" w:color="888888" w:sz="4"/>
              <w:bottom w:val="single" w:color="888888" w:sz="4"/>
              <w:right w:val="single" w:color="888888" w:sz="4"/>
            </w:tcBorders>
            <w:tcMar>
              <w:top w:type="dxa" w:w="70"/>
              <w:left w:type="dxa" w:w="110"/>
              <w:bottom w:type="dxa" w:w="70"/>
              <w:right w:type="dxa" w:w="110"/>
            </w:tcMar>
          </w:tcPr>
          <w:p>
            <w:pPr>
              <w:spacing w:after="30"/>
            </w:pPr>
            <w:r>
              <w:rPr>
                <w:rFonts w:ascii="Times New Roman" w:cs="Times New Roman" w:eastAsia="Times New Roman" w:hAnsi="Times New Roman"/>
                <w:sz w:val="22"/>
                <w:szCs w:val="22"/>
              </w:rPr>
              <w:t xml:space="preserve">Initial SDS based on SRS v1.0</w:t>
            </w:r>
          </w:p>
        </w:tc>
      </w:tr>
    </w:tbl>
    <w:p>
      <w:pPr>
        <w:pStyle w:val="Heading1"/>
        <w:spacing w:after="140" w:before="280"/>
      </w:pPr>
      <w:r>
        <w:rPr>
          <w:rFonts w:ascii="Times New Roman" w:cs="Times New Roman" w:eastAsia="Times New Roman" w:hAnsi="Times New Roman"/>
          <w:b/>
          <w:bCs/>
          <w:sz w:val="30"/>
          <w:szCs w:val="30"/>
        </w:rPr>
        <w:t xml:space="preserve">1  Introduction</w:t>
      </w:r>
    </w:p>
    <w:p>
      <w:pPr>
        <w:pStyle w:val="Heading2"/>
        <w:spacing w:after="100" w:before="200"/>
      </w:pPr>
      <w:r>
        <w:rPr>
          <w:rFonts w:ascii="Times New Roman" w:cs="Times New Roman" w:eastAsia="Times New Roman" w:hAnsi="Times New Roman"/>
          <w:b/>
          <w:bCs/>
          <w:sz w:val="25"/>
          <w:szCs w:val="25"/>
        </w:rPr>
        <w:t xml:space="preserve">1.1  Purpose</w:t>
      </w:r>
    </w:p>
    <w:p>
      <w:pPr>
        <w:spacing w:after="120" w:line="280"/>
        <w:jc w:val="both"/>
      </w:pPr>
      <w:r>
        <w:rPr>
          <w:rFonts w:ascii="Times New Roman" w:cs="Times New Roman" w:eastAsia="Times New Roman" w:hAnsi="Times New Roman"/>
          <w:sz w:val="22"/>
          <w:szCs w:val="22"/>
        </w:rPr>
        <w:t xml:space="preserve">This Software Design Specification describes the internal design of VAKVIC v1.0. Where the SRS answered what the system should do, this document answers how it is built. It is the working reference for the six developers and the document the course evaluator will use to check the design against the requirements.</w:t>
      </w:r>
    </w:p>
    <w:p>
      <w:pPr>
        <w:pStyle w:val="Heading2"/>
        <w:spacing w:after="100" w:before="200"/>
      </w:pPr>
      <w:r>
        <w:rPr>
          <w:rFonts w:ascii="Times New Roman" w:cs="Times New Roman" w:eastAsia="Times New Roman" w:hAnsi="Times New Roman"/>
          <w:b/>
          <w:bCs/>
          <w:sz w:val="25"/>
          <w:szCs w:val="25"/>
        </w:rPr>
        <w:t xml:space="preserve">1.2  Scope</w:t>
      </w:r>
    </w:p>
    <w:p>
      <w:pPr>
        <w:spacing w:after="120" w:line="280"/>
        <w:jc w:val="both"/>
      </w:pPr>
      <w:r>
        <w:rPr>
          <w:rFonts w:ascii="Times New Roman" w:cs="Times New Roman" w:eastAsia="Times New Roman" w:hAnsi="Times New Roman"/>
          <w:sz w:val="22"/>
          <w:szCs w:val="22"/>
        </w:rPr>
        <w:t xml:space="preserve">Covers the design of all four VAKVIC subsystems — PostgreSQL database, ML/DL models, Express backend, React frontend — plus the yfinance ingestion job. Does not cover business case, schedule, or test cases (the Test Plan is a separate deliverable due April 20).</w:t>
      </w:r>
    </w:p>
    <w:p>
      <w:pPr>
        <w:pStyle w:val="Heading2"/>
        <w:spacing w:after="100" w:before="200"/>
      </w:pPr>
      <w:r>
        <w:rPr>
          <w:rFonts w:ascii="Times New Roman" w:cs="Times New Roman" w:eastAsia="Times New Roman" w:hAnsi="Times New Roman"/>
          <w:b/>
          <w:bCs/>
          <w:sz w:val="25"/>
          <w:szCs w:val="25"/>
        </w:rPr>
        <w:t xml:space="preserve">1.3  Definitions, Acronyms, and Abbreviations</w:t>
      </w:r>
    </w:p>
    <w:p>
      <w:pPr>
        <w:spacing w:after="120" w:line="280"/>
        <w:jc w:val="both"/>
      </w:pPr>
      <w:r>
        <w:rPr>
          <w:rFonts w:ascii="Times New Roman" w:cs="Times New Roman" w:eastAsia="Times New Roman" w:hAnsi="Times New Roman"/>
          <w:sz w:val="22"/>
          <w:szCs w:val="22"/>
        </w:rPr>
        <w:t xml:space="preserve">Most terms are defined in SRS Section 1.4. Additions specific to the design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888888" w:sz="4"/>
              <w:left w:val="single" w:color="888888" w:sz="4"/>
              <w:bottom w:val="single" w:color="888888" w:sz="4"/>
              <w:right w:val="single" w:color="888888" w:sz="4"/>
            </w:tcBorders>
            <w:shd w:fill="E8E8E8" w:val="clear"/>
            <w:tcMar>
              <w:top w:type="dxa" w:w="70"/>
              <w:left w:type="dxa" w:w="110"/>
              <w:bottom w:type="dxa" w:w="70"/>
              <w:right w:type="dxa" w:w="110"/>
            </w:tcMar>
          </w:tcPr>
          <w:p>
            <w:pPr>
              <w:spacing w:after="30"/>
            </w:pPr>
            <w:r>
              <w:rPr>
                <w:rFonts w:ascii="Times New Roman" w:cs="Times New Roman" w:eastAsia="Times New Roman" w:hAnsi="Times New Roman"/>
                <w:b/>
                <w:bCs/>
                <w:sz w:val="22"/>
                <w:szCs w:val="22"/>
              </w:rPr>
              <w:t xml:space="preserve">Term</w:t>
            </w:r>
          </w:p>
        </w:tc>
        <w:tc>
          <w:tcPr>
            <w:tcW w:type="dxa" w:w="7160"/>
            <w:tcBorders>
              <w:top w:val="single" w:color="888888" w:sz="4"/>
              <w:left w:val="single" w:color="888888" w:sz="4"/>
              <w:bottom w:val="single" w:color="888888" w:sz="4"/>
              <w:right w:val="single" w:color="888888" w:sz="4"/>
            </w:tcBorders>
            <w:shd w:fill="E8E8E8" w:val="clear"/>
            <w:tcMar>
              <w:top w:type="dxa" w:w="70"/>
              <w:left w:type="dxa" w:w="110"/>
              <w:bottom w:type="dxa" w:w="70"/>
              <w:right w:type="dxa" w:w="110"/>
            </w:tcMar>
          </w:tcPr>
          <w:p>
            <w:pPr>
              <w:spacing w:after="30"/>
            </w:pPr>
            <w:r>
              <w:rPr>
                <w:rFonts w:ascii="Times New Roman" w:cs="Times New Roman" w:eastAsia="Times New Roman" w:hAnsi="Times New Roman"/>
                <w:b/>
                <w:bCs/>
                <w:sz w:val="22"/>
                <w:szCs w:val="22"/>
              </w:rPr>
              <w:t xml:space="preserve">Definition</w:t>
            </w:r>
          </w:p>
        </w:tc>
      </w:tr>
      <w:tr>
        <w:tc>
          <w:tcPr>
            <w:tcW w:type="dxa" w:w="2200"/>
            <w:tcBorders>
              <w:top w:val="single" w:color="888888" w:sz="4"/>
              <w:left w:val="single" w:color="888888" w:sz="4"/>
              <w:bottom w:val="single" w:color="888888" w:sz="4"/>
              <w:right w:val="single" w:color="888888" w:sz="4"/>
            </w:tcBorders>
            <w:tcMar>
              <w:top w:type="dxa" w:w="70"/>
              <w:left w:type="dxa" w:w="110"/>
              <w:bottom w:type="dxa" w:w="70"/>
              <w:right w:type="dxa" w:w="110"/>
            </w:tcMar>
          </w:tcPr>
          <w:p>
            <w:pPr>
              <w:spacing w:after="30"/>
            </w:pPr>
            <w:r>
              <w:rPr>
                <w:rFonts w:ascii="Times New Roman" w:cs="Times New Roman" w:eastAsia="Times New Roman" w:hAnsi="Times New Roman"/>
                <w:sz w:val="22"/>
                <w:szCs w:val="22"/>
              </w:rPr>
              <w:t xml:space="preserve">DAL</w:t>
            </w:r>
          </w:p>
        </w:tc>
        <w:tc>
          <w:tcPr>
            <w:tcW w:type="dxa" w:w="7160"/>
            <w:tcBorders>
              <w:top w:val="single" w:color="888888" w:sz="4"/>
              <w:left w:val="single" w:color="888888" w:sz="4"/>
              <w:bottom w:val="single" w:color="888888" w:sz="4"/>
              <w:right w:val="single" w:color="888888" w:sz="4"/>
            </w:tcBorders>
            <w:tcMar>
              <w:top w:type="dxa" w:w="70"/>
              <w:left w:type="dxa" w:w="110"/>
              <w:bottom w:type="dxa" w:w="70"/>
              <w:right w:type="dxa" w:w="110"/>
            </w:tcMar>
          </w:tcPr>
          <w:p>
            <w:pPr>
              <w:spacing w:after="30"/>
            </w:pPr>
            <w:r>
              <w:rPr>
                <w:rFonts w:ascii="Times New Roman" w:cs="Times New Roman" w:eastAsia="Times New Roman" w:hAnsi="Times New Roman"/>
                <w:sz w:val="22"/>
                <w:szCs w:val="22"/>
              </w:rPr>
              <w:t xml:space="preserve">Data Access Layer — helper functions that wrap all SQL</w:t>
            </w:r>
          </w:p>
        </w:tc>
      </w:tr>
      <w:tr>
        <w:tc>
          <w:tcPr>
            <w:tcW w:type="dxa" w:w="2200"/>
            <w:tcBorders>
              <w:top w:val="single" w:color="888888" w:sz="4"/>
              <w:left w:val="single" w:color="888888" w:sz="4"/>
              <w:bottom w:val="single" w:color="888888" w:sz="4"/>
              <w:right w:val="single" w:color="888888" w:sz="4"/>
            </w:tcBorders>
            <w:tcMar>
              <w:top w:type="dxa" w:w="70"/>
              <w:left w:type="dxa" w:w="110"/>
              <w:bottom w:type="dxa" w:w="70"/>
              <w:right w:type="dxa" w:w="110"/>
            </w:tcMar>
          </w:tcPr>
          <w:p>
            <w:pPr>
              <w:spacing w:after="30"/>
            </w:pPr>
            <w:r>
              <w:rPr>
                <w:rFonts w:ascii="Times New Roman" w:cs="Times New Roman" w:eastAsia="Times New Roman" w:hAnsi="Times New Roman"/>
                <w:sz w:val="22"/>
                <w:szCs w:val="22"/>
              </w:rPr>
              <w:t xml:space="preserve">DTO</w:t>
            </w:r>
          </w:p>
        </w:tc>
        <w:tc>
          <w:tcPr>
            <w:tcW w:type="dxa" w:w="7160"/>
            <w:tcBorders>
              <w:top w:val="single" w:color="888888" w:sz="4"/>
              <w:left w:val="single" w:color="888888" w:sz="4"/>
              <w:bottom w:val="single" w:color="888888" w:sz="4"/>
              <w:right w:val="single" w:color="888888" w:sz="4"/>
            </w:tcBorders>
            <w:tcMar>
              <w:top w:type="dxa" w:w="70"/>
              <w:left w:type="dxa" w:w="110"/>
              <w:bottom w:type="dxa" w:w="70"/>
              <w:right w:type="dxa" w:w="110"/>
            </w:tcMar>
          </w:tcPr>
          <w:p>
            <w:pPr>
              <w:spacing w:after="30"/>
            </w:pPr>
            <w:r>
              <w:rPr>
                <w:rFonts w:ascii="Times New Roman" w:cs="Times New Roman" w:eastAsia="Times New Roman" w:hAnsi="Times New Roman"/>
                <w:sz w:val="22"/>
                <w:szCs w:val="22"/>
              </w:rPr>
              <w:t xml:space="preserve">Data Transfer Object — JSON shape crossing the API boundary</w:t>
            </w:r>
          </w:p>
        </w:tc>
      </w:tr>
      <w:tr>
        <w:tc>
          <w:tcPr>
            <w:tcW w:type="dxa" w:w="2200"/>
            <w:tcBorders>
              <w:top w:val="single" w:color="888888" w:sz="4"/>
              <w:left w:val="single" w:color="888888" w:sz="4"/>
              <w:bottom w:val="single" w:color="888888" w:sz="4"/>
              <w:right w:val="single" w:color="888888" w:sz="4"/>
            </w:tcBorders>
            <w:tcMar>
              <w:top w:type="dxa" w:w="70"/>
              <w:left w:type="dxa" w:w="110"/>
              <w:bottom w:type="dxa" w:w="70"/>
              <w:right w:type="dxa" w:w="110"/>
            </w:tcMar>
          </w:tcPr>
          <w:p>
            <w:pPr>
              <w:spacing w:after="30"/>
            </w:pPr>
            <w:r>
              <w:rPr>
                <w:rFonts w:ascii="Times New Roman" w:cs="Times New Roman" w:eastAsia="Times New Roman" w:hAnsi="Times New Roman"/>
                <w:sz w:val="22"/>
                <w:szCs w:val="22"/>
              </w:rPr>
              <w:t xml:space="preserve">MVO</w:t>
            </w:r>
          </w:p>
        </w:tc>
        <w:tc>
          <w:tcPr>
            <w:tcW w:type="dxa" w:w="7160"/>
            <w:tcBorders>
              <w:top w:val="single" w:color="888888" w:sz="4"/>
              <w:left w:val="single" w:color="888888" w:sz="4"/>
              <w:bottom w:val="single" w:color="888888" w:sz="4"/>
              <w:right w:val="single" w:color="888888" w:sz="4"/>
            </w:tcBorders>
            <w:tcMar>
              <w:top w:type="dxa" w:w="70"/>
              <w:left w:type="dxa" w:w="110"/>
              <w:bottom w:type="dxa" w:w="70"/>
              <w:right w:type="dxa" w:w="110"/>
            </w:tcMar>
          </w:tcPr>
          <w:p>
            <w:pPr>
              <w:spacing w:after="30"/>
            </w:pPr>
            <w:r>
              <w:rPr>
                <w:rFonts w:ascii="Times New Roman" w:cs="Times New Roman" w:eastAsia="Times New Roman" w:hAnsi="Times New Roman"/>
                <w:sz w:val="22"/>
                <w:szCs w:val="22"/>
              </w:rPr>
              <w:t xml:space="preserve">Markowitz Mean-Variance Optimization</w:t>
            </w:r>
          </w:p>
        </w:tc>
      </w:tr>
      <w:tr>
        <w:tc>
          <w:tcPr>
            <w:tcW w:type="dxa" w:w="2200"/>
            <w:tcBorders>
              <w:top w:val="single" w:color="888888" w:sz="4"/>
              <w:left w:val="single" w:color="888888" w:sz="4"/>
              <w:bottom w:val="single" w:color="888888" w:sz="4"/>
              <w:right w:val="single" w:color="888888" w:sz="4"/>
            </w:tcBorders>
            <w:tcMar>
              <w:top w:type="dxa" w:w="70"/>
              <w:left w:type="dxa" w:w="110"/>
              <w:bottom w:type="dxa" w:w="70"/>
              <w:right w:type="dxa" w:w="110"/>
            </w:tcMar>
          </w:tcPr>
          <w:p>
            <w:pPr>
              <w:spacing w:after="30"/>
            </w:pPr>
            <w:r>
              <w:rPr>
                <w:rFonts w:ascii="Times New Roman" w:cs="Times New Roman" w:eastAsia="Times New Roman" w:hAnsi="Times New Roman"/>
                <w:sz w:val="22"/>
                <w:szCs w:val="22"/>
              </w:rPr>
              <w:t xml:space="preserve">JWT</w:t>
            </w:r>
          </w:p>
        </w:tc>
        <w:tc>
          <w:tcPr>
            <w:tcW w:type="dxa" w:w="7160"/>
            <w:tcBorders>
              <w:top w:val="single" w:color="888888" w:sz="4"/>
              <w:left w:val="single" w:color="888888" w:sz="4"/>
              <w:bottom w:val="single" w:color="888888" w:sz="4"/>
              <w:right w:val="single" w:color="888888" w:sz="4"/>
            </w:tcBorders>
            <w:tcMar>
              <w:top w:type="dxa" w:w="70"/>
              <w:left w:type="dxa" w:w="110"/>
              <w:bottom w:type="dxa" w:w="70"/>
              <w:right w:type="dxa" w:w="110"/>
            </w:tcMar>
          </w:tcPr>
          <w:p>
            <w:pPr>
              <w:spacing w:after="30"/>
            </w:pPr>
            <w:r>
              <w:rPr>
                <w:rFonts w:ascii="Times New Roman" w:cs="Times New Roman" w:eastAsia="Times New Roman" w:hAnsi="Times New Roman"/>
                <w:sz w:val="22"/>
                <w:szCs w:val="22"/>
              </w:rPr>
              <w:t xml:space="preserve">JSON Web Token — used for stateless authentication</w:t>
            </w:r>
          </w:p>
        </w:tc>
      </w:tr>
    </w:tbl>
    <w:p>
      <w:pPr>
        <w:pStyle w:val="Heading2"/>
        <w:spacing w:after="100" w:before="200"/>
      </w:pPr>
      <w:r>
        <w:rPr>
          <w:rFonts w:ascii="Times New Roman" w:cs="Times New Roman" w:eastAsia="Times New Roman" w:hAnsi="Times New Roman"/>
          <w:b/>
          <w:bCs/>
          <w:sz w:val="25"/>
          <w:szCs w:val="25"/>
        </w:rPr>
        <w:t xml:space="preserve">1.4  References</w:t>
      </w:r>
    </w:p>
    <w:p>
      <w:pPr>
        <w:pStyle w:val="ListParagraph"/>
        <w:numPr>
          <w:ilvl w:val="0"/>
          <w:numId w:val="2"/>
        </w:numPr>
        <w:spacing w:after="60" w:line="280"/>
      </w:pPr>
      <w:r>
        <w:rPr>
          <w:rFonts w:ascii="Times New Roman" w:cs="Times New Roman" w:eastAsia="Times New Roman" w:hAnsi="Times New Roman"/>
          <w:sz w:val="22"/>
          <w:szCs w:val="22"/>
        </w:rPr>
        <w:t xml:space="preserve">VAKVIC Software Requirements Specification v1.0, 9 March 2026</w:t>
      </w:r>
    </w:p>
    <w:p>
      <w:pPr>
        <w:pStyle w:val="ListParagraph"/>
        <w:numPr>
          <w:ilvl w:val="0"/>
          <w:numId w:val="2"/>
        </w:numPr>
        <w:spacing w:after="60" w:line="280"/>
      </w:pPr>
      <w:r>
        <w:rPr>
          <w:rFonts w:ascii="Times New Roman" w:cs="Times New Roman" w:eastAsia="Times New Roman" w:hAnsi="Times New Roman"/>
          <w:sz w:val="22"/>
          <w:szCs w:val="22"/>
        </w:rPr>
        <w:t xml:space="preserve">IEEE Std 1016-2009 — Recommended Practice for Software Design Descriptions</w:t>
      </w:r>
    </w:p>
    <w:p>
      <w:pPr>
        <w:pStyle w:val="ListParagraph"/>
        <w:numPr>
          <w:ilvl w:val="0"/>
          <w:numId w:val="2"/>
        </w:numPr>
        <w:spacing w:after="60" w:line="280"/>
      </w:pPr>
      <w:r>
        <w:rPr>
          <w:rFonts w:ascii="Times New Roman" w:cs="Times New Roman" w:eastAsia="Times New Roman" w:hAnsi="Times New Roman"/>
          <w:sz w:val="22"/>
          <w:szCs w:val="22"/>
        </w:rPr>
        <w:t xml:space="preserve">PostgreSQL 16, Express.js, TensorFlow/Keras, scikit-learn, node-pg-migrate, yfinance — official documentation</w:t>
      </w:r>
    </w:p>
    <w:p>
      <w:pPr>
        <w:pStyle w:val="Heading1"/>
        <w:spacing w:after="140" w:before="280"/>
      </w:pPr>
      <w:r>
        <w:rPr>
          <w:rFonts w:ascii="Times New Roman" w:cs="Times New Roman" w:eastAsia="Times New Roman" w:hAnsi="Times New Roman"/>
          <w:b/>
          <w:bCs/>
          <w:sz w:val="30"/>
          <w:szCs w:val="30"/>
        </w:rPr>
        <w:t xml:space="preserve">2  Use Case View</w:t>
      </w:r>
    </w:p>
    <w:p>
      <w:pPr>
        <w:spacing w:after="120" w:line="280"/>
        <w:jc w:val="both"/>
      </w:pPr>
      <w:r>
        <w:rPr>
          <w:rFonts w:ascii="Times New Roman" w:cs="Times New Roman" w:eastAsia="Times New Roman" w:hAnsi="Times New Roman"/>
          <w:sz w:val="22"/>
          <w:szCs w:val="22"/>
        </w:rPr>
        <w:t xml:space="preserve">The SRS defines three use cases. Two of them — Compare Assets and Generate Portfolio Recommendation — drive most of the design because they touch every subsystem. Manage Watchlist is a simpler flow reused from the same building blocks.</w:t>
      </w:r>
    </w:p>
    <w:p>
      <w:pPr>
        <w:pStyle w:val="Heading2"/>
        <w:spacing w:after="100" w:before="200"/>
      </w:pPr>
      <w:r>
        <w:rPr>
          <w:rFonts w:ascii="Times New Roman" w:cs="Times New Roman" w:eastAsia="Times New Roman" w:hAnsi="Times New Roman"/>
          <w:b/>
          <w:bCs/>
          <w:sz w:val="25"/>
          <w:szCs w:val="25"/>
        </w:rPr>
        <w:t xml:space="preserve">2.1  Use Cases</w:t>
      </w:r>
    </w:p>
    <w:p>
      <w:pPr>
        <w:spacing w:after="120" w:line="280"/>
        <w:jc w:val="both"/>
      </w:pPr>
      <w:r>
        <w:rPr>
          <w:rFonts w:ascii="Times New Roman" w:cs="Times New Roman" w:eastAsia="Times New Roman" w:hAnsi="Times New Roman"/>
          <w:sz w:val="22"/>
          <w:szCs w:val="22"/>
        </w:rPr>
        <w:t xml:space="preserve">Full descriptions are in SRS Section 3.3. Summaries:</w:t>
      </w:r>
    </w:p>
    <w:p>
      <w:pPr>
        <w:pStyle w:val="ListParagraph"/>
        <w:numPr>
          <w:ilvl w:val="0"/>
          <w:numId w:val="2"/>
        </w:numPr>
        <w:spacing w:after="60" w:line="280"/>
      </w:pPr>
      <w:r>
        <w:rPr>
          <w:rFonts w:ascii="Times New Roman" w:cs="Times New Roman" w:eastAsia="Times New Roman" w:hAnsi="Times New Roman"/>
          <w:b/>
          <w:bCs/>
          <w:sz w:val="22"/>
          <w:szCs w:val="22"/>
        </w:rPr>
        <w:t xml:space="preserve">UC1 Compare Assets — </w:t>
      </w:r>
      <w:r>
        <w:rPr>
          <w:rFonts w:ascii="Times New Roman" w:cs="Times New Roman" w:eastAsia="Times New Roman" w:hAnsi="Times New Roman"/>
          <w:sz w:val="22"/>
          <w:szCs w:val="22"/>
        </w:rPr>
        <w:t xml:space="preserve">User picks 2+ assets; backend pulls metrics from asset_metrics, normalizes them to 0–100, persists the comparison, returns JSON; frontend renders a radar chart and metric table.</w:t>
      </w:r>
    </w:p>
    <w:p>
      <w:pPr>
        <w:pStyle w:val="ListParagraph"/>
        <w:numPr>
          <w:ilvl w:val="0"/>
          <w:numId w:val="2"/>
        </w:numPr>
        <w:spacing w:after="60" w:line="280"/>
      </w:pPr>
      <w:r>
        <w:rPr>
          <w:rFonts w:ascii="Times New Roman" w:cs="Times New Roman" w:eastAsia="Times New Roman" w:hAnsi="Times New Roman"/>
          <w:b/>
          <w:bCs/>
          <w:sz w:val="22"/>
          <w:szCs w:val="22"/>
        </w:rPr>
        <w:t xml:space="preserve">UC2 Generate Portfolio — </w:t>
      </w:r>
      <w:r>
        <w:rPr>
          <w:rFonts w:ascii="Times New Roman" w:cs="Times New Roman" w:eastAsia="Times New Roman" w:hAnsi="Times New Roman"/>
          <w:sz w:val="22"/>
          <w:szCs w:val="22"/>
        </w:rPr>
        <w:t xml:space="preserve">User submits capital, risk tolerance, time horizon; backend validates, calls the Markowitz optimizer, persists results, returns the allocation; frontend renders a pie chart and INR breakdown.</w:t>
      </w:r>
    </w:p>
    <w:p>
      <w:pPr>
        <w:pStyle w:val="ListParagraph"/>
        <w:numPr>
          <w:ilvl w:val="0"/>
          <w:numId w:val="2"/>
        </w:numPr>
        <w:spacing w:after="60" w:line="280"/>
      </w:pPr>
      <w:r>
        <w:rPr>
          <w:rFonts w:ascii="Times New Roman" w:cs="Times New Roman" w:eastAsia="Times New Roman" w:hAnsi="Times New Roman"/>
          <w:b/>
          <w:bCs/>
          <w:sz w:val="22"/>
          <w:szCs w:val="22"/>
        </w:rPr>
        <w:t xml:space="preserve">UC3 Manage Watchlist — </w:t>
      </w:r>
      <w:r>
        <w:rPr>
          <w:rFonts w:ascii="Times New Roman" w:cs="Times New Roman" w:eastAsia="Times New Roman" w:hAnsi="Times New Roman"/>
          <w:sz w:val="22"/>
          <w:szCs w:val="22"/>
        </w:rPr>
        <w:t xml:space="preserve">User adds or removes an asset; backend checks JWT, calls the DAL helper, returns the updated list. Duplicates are caught by a unique constraint.</w:t>
      </w:r>
    </w:p>
    <w:p>
      <w:pPr>
        <w:spacing w:after="80" w:before="200"/>
        <w:jc w:val="center"/>
      </w:pPr>
      <w:r>
        <w:drawing>
          <wp:inline distT="0" distB="0" distL="0" distR="0">
            <wp:extent cx="5524500" cy="3629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3629025"/>
                    </a:xfrm>
                    <a:prstGeom prst="rect">
                      <a:avLst/>
                    </a:prstGeom>
                  </pic:spPr>
                </pic:pic>
              </a:graphicData>
            </a:graphic>
          </wp:inline>
        </w:drawing>
      </w:r>
    </w:p>
    <w:p>
      <w:pPr>
        <w:spacing w:after="200"/>
        <w:jc w:val="center"/>
      </w:pPr>
      <w:r>
        <w:rPr>
          <w:rFonts w:ascii="Times New Roman" w:cs="Times New Roman" w:eastAsia="Times New Roman" w:hAnsi="Times New Roman"/>
          <w:i/>
          <w:iCs/>
          <w:color w:val="555555"/>
          <w:sz w:val="20"/>
          <w:szCs w:val="20"/>
        </w:rPr>
        <w:t xml:space="preserve">Figure 1 — Use Case Diagram. Investor drives the user-facing flows; the ML Engine and Ingestion Job are supporting actors.</w:t>
      </w:r>
    </w:p>
    <w:p>
      <w:pPr>
        <w:pStyle w:val="Heading1"/>
        <w:spacing w:after="140" w:before="280"/>
      </w:pPr>
      <w:r>
        <w:rPr>
          <w:rFonts w:ascii="Times New Roman" w:cs="Times New Roman" w:eastAsia="Times New Roman" w:hAnsi="Times New Roman"/>
          <w:b/>
          <w:bCs/>
          <w:sz w:val="30"/>
          <w:szCs w:val="30"/>
        </w:rPr>
        <w:t xml:space="preserve">3  Design Overview</w:t>
      </w:r>
    </w:p>
    <w:p>
      <w:pPr>
        <w:spacing w:after="120" w:line="280"/>
        <w:jc w:val="both"/>
      </w:pPr>
      <w:r>
        <w:rPr>
          <w:rFonts w:ascii="Times New Roman" w:cs="Times New Roman" w:eastAsia="Times New Roman" w:hAnsi="Times New Roman"/>
          <w:sz w:val="22"/>
          <w:szCs w:val="22"/>
        </w:rPr>
        <w:t xml:space="preserve">VAKVIC is a four-tier web application. The browser talks to a React SPA, which talks to an Express REST API, which talks to PostgreSQL through a thin data access layer and to a Python ML service through a small HTTP shim. A separate scheduled Python job uses yfinance to keep the database fresh.</w:t>
      </w:r>
    </w:p>
    <w:p>
      <w:pPr>
        <w:spacing w:after="120" w:line="280"/>
        <w:jc w:val="both"/>
      </w:pPr>
      <w:r>
        <w:rPr>
          <w:rFonts w:ascii="Times New Roman" w:cs="Times New Roman" w:eastAsia="Times New Roman" w:hAnsi="Times New Roman"/>
          <w:sz w:val="22"/>
          <w:szCs w:val="22"/>
        </w:rPr>
        <w:t xml:space="preserve">Four design choices shape almost everything that follows. No caller writes raw SQL — every read and write goes through the DAL. Schema changes go through node-pg-migrate with up and down scripts. ML models are trained offline and loaded at startup, not retrained per request. All monetary values use DECIMAL(15,4) to avoid floating-point drift.</w:t>
      </w:r>
    </w:p>
    <w:p>
      <w:pPr>
        <w:pStyle w:val="Heading2"/>
        <w:spacing w:after="100" w:before="200"/>
      </w:pPr>
      <w:r>
        <w:rPr>
          <w:rFonts w:ascii="Times New Roman" w:cs="Times New Roman" w:eastAsia="Times New Roman" w:hAnsi="Times New Roman"/>
          <w:b/>
          <w:bCs/>
          <w:sz w:val="25"/>
          <w:szCs w:val="25"/>
        </w:rPr>
        <w:t xml:space="preserve">3.1  Design Goals and Constraints</w:t>
      </w:r>
    </w:p>
    <w:p>
      <w:pPr>
        <w:pStyle w:val="ListParagraph"/>
        <w:numPr>
          <w:ilvl w:val="0"/>
          <w:numId w:val="2"/>
        </w:numPr>
        <w:spacing w:after="60" w:line="280"/>
      </w:pPr>
      <w:r>
        <w:rPr>
          <w:rFonts w:ascii="Times New Roman" w:cs="Times New Roman" w:eastAsia="Times New Roman" w:hAnsi="Times New Roman"/>
          <w:b/>
          <w:bCs/>
          <w:sz w:val="22"/>
          <w:szCs w:val="22"/>
        </w:rPr>
        <w:t xml:space="preserve">Database: </w:t>
      </w:r>
      <w:r>
        <w:rPr>
          <w:rFonts w:ascii="Times New Roman" w:cs="Times New Roman" w:eastAsia="Times New Roman" w:hAnsi="Times New Roman"/>
          <w:sz w:val="22"/>
          <w:szCs w:val="22"/>
        </w:rPr>
        <w:t xml:space="preserve">PostgreSQL 16 only, schema versioned via node-pg-migrate.</w:t>
      </w:r>
    </w:p>
    <w:p>
      <w:pPr>
        <w:pStyle w:val="ListParagraph"/>
        <w:numPr>
          <w:ilvl w:val="0"/>
          <w:numId w:val="2"/>
        </w:numPr>
        <w:spacing w:after="60" w:line="280"/>
      </w:pPr>
      <w:r>
        <w:rPr>
          <w:rFonts w:ascii="Times New Roman" w:cs="Times New Roman" w:eastAsia="Times New Roman" w:hAnsi="Times New Roman"/>
          <w:b/>
          <w:bCs/>
          <w:sz w:val="22"/>
          <w:szCs w:val="22"/>
        </w:rPr>
        <w:t xml:space="preserve">Backend: </w:t>
      </w:r>
      <w:r>
        <w:rPr>
          <w:rFonts w:ascii="Times New Roman" w:cs="Times New Roman" w:eastAsia="Times New Roman" w:hAnsi="Times New Roman"/>
          <w:sz w:val="22"/>
          <w:szCs w:val="22"/>
        </w:rPr>
        <w:t xml:space="preserve">Node.js + Express, all routes under /api/v1/, JSON in and out.</w:t>
      </w:r>
    </w:p>
    <w:p>
      <w:pPr>
        <w:pStyle w:val="ListParagraph"/>
        <w:numPr>
          <w:ilvl w:val="0"/>
          <w:numId w:val="2"/>
        </w:numPr>
        <w:spacing w:after="60" w:line="280"/>
      </w:pPr>
      <w:r>
        <w:rPr>
          <w:rFonts w:ascii="Times New Roman" w:cs="Times New Roman" w:eastAsia="Times New Roman" w:hAnsi="Times New Roman"/>
          <w:b/>
          <w:bCs/>
          <w:sz w:val="22"/>
          <w:szCs w:val="22"/>
        </w:rPr>
        <w:t xml:space="preserve">ML stack: </w:t>
      </w:r>
      <w:r>
        <w:rPr>
          <w:rFonts w:ascii="Times New Roman" w:cs="Times New Roman" w:eastAsia="Times New Roman" w:hAnsi="Times New Roman"/>
          <w:sz w:val="22"/>
          <w:szCs w:val="22"/>
        </w:rPr>
        <w:t xml:space="preserve">TensorFlow/Keras for LSTM, scikit-learn for scoring and Markowitz.</w:t>
      </w:r>
    </w:p>
    <w:p>
      <w:pPr>
        <w:pStyle w:val="ListParagraph"/>
        <w:numPr>
          <w:ilvl w:val="0"/>
          <w:numId w:val="2"/>
        </w:numPr>
        <w:spacing w:after="60" w:line="280"/>
      </w:pPr>
      <w:r>
        <w:rPr>
          <w:rFonts w:ascii="Times New Roman" w:cs="Times New Roman" w:eastAsia="Times New Roman" w:hAnsi="Times New Roman"/>
          <w:b/>
          <w:bCs/>
          <w:sz w:val="22"/>
          <w:szCs w:val="22"/>
        </w:rPr>
        <w:t xml:space="preserve">Frontend: </w:t>
      </w:r>
      <w:r>
        <w:rPr>
          <w:rFonts w:ascii="Times New Roman" w:cs="Times New Roman" w:eastAsia="Times New Roman" w:hAnsi="Times New Roman"/>
          <w:sz w:val="22"/>
          <w:szCs w:val="22"/>
        </w:rPr>
        <w:t xml:space="preserve">React.js SPA, dark terminal-finance theme, already prototyped in VAKVIC.jsx.</w:t>
      </w:r>
    </w:p>
    <w:p>
      <w:pPr>
        <w:pStyle w:val="ListParagraph"/>
        <w:numPr>
          <w:ilvl w:val="0"/>
          <w:numId w:val="2"/>
        </w:numPr>
        <w:spacing w:after="60" w:line="280"/>
      </w:pPr>
      <w:r>
        <w:rPr>
          <w:rFonts w:ascii="Times New Roman" w:cs="Times New Roman" w:eastAsia="Times New Roman" w:hAnsi="Times New Roman"/>
          <w:b/>
          <w:bCs/>
          <w:sz w:val="22"/>
          <w:szCs w:val="22"/>
        </w:rPr>
        <w:t xml:space="preserve">Currency and universe: </w:t>
      </w:r>
      <w:r>
        <w:rPr>
          <w:rFonts w:ascii="Times New Roman" w:cs="Times New Roman" w:eastAsia="Times New Roman" w:hAnsi="Times New Roman"/>
          <w:sz w:val="22"/>
          <w:szCs w:val="22"/>
        </w:rPr>
        <w:t xml:space="preserve">INR throughout, NIFTY 50 plus a small set of NSE-listed ETFs (~60 instruments).</w:t>
      </w:r>
    </w:p>
    <w:p>
      <w:pPr>
        <w:pStyle w:val="ListParagraph"/>
        <w:numPr>
          <w:ilvl w:val="0"/>
          <w:numId w:val="2"/>
        </w:numPr>
        <w:spacing w:after="60" w:line="280"/>
      </w:pPr>
      <w:r>
        <w:rPr>
          <w:rFonts w:ascii="Times New Roman" w:cs="Times New Roman" w:eastAsia="Times New Roman" w:hAnsi="Times New Roman"/>
          <w:b/>
          <w:bCs/>
          <w:sz w:val="22"/>
          <w:szCs w:val="22"/>
        </w:rPr>
        <w:t xml:space="preserve">Team: </w:t>
      </w:r>
      <w:r>
        <w:rPr>
          <w:rFonts w:ascii="Times New Roman" w:cs="Times New Roman" w:eastAsia="Times New Roman" w:hAnsi="Times New Roman"/>
          <w:sz w:val="22"/>
          <w:szCs w:val="22"/>
        </w:rPr>
        <w:t xml:space="preserve">Six members, 9-week sprint. Integration risk is the biggest constraint, hence the strict helper-function rule.</w:t>
      </w:r>
    </w:p>
    <w:p>
      <w:pPr>
        <w:pStyle w:val="Heading2"/>
        <w:spacing w:after="100" w:before="200"/>
      </w:pPr>
      <w:r>
        <w:rPr>
          <w:rFonts w:ascii="Times New Roman" w:cs="Times New Roman" w:eastAsia="Times New Roman" w:hAnsi="Times New Roman"/>
          <w:b/>
          <w:bCs/>
          <w:sz w:val="25"/>
          <w:szCs w:val="25"/>
        </w:rPr>
        <w:t xml:space="preserve">3.2  Design Assumptions</w:t>
      </w:r>
    </w:p>
    <w:p>
      <w:pPr>
        <w:pStyle w:val="ListParagraph"/>
        <w:numPr>
          <w:ilvl w:val="0"/>
          <w:numId w:val="2"/>
        </w:numPr>
        <w:spacing w:after="60" w:line="280"/>
      </w:pPr>
      <w:r>
        <w:rPr>
          <w:rFonts w:ascii="Times New Roman" w:cs="Times New Roman" w:eastAsia="Times New Roman" w:hAnsi="Times New Roman"/>
          <w:sz w:val="22"/>
          <w:szCs w:val="22"/>
        </w:rPr>
        <w:t xml:space="preserve">Yahoo Finance stays available throughout the project window.</w:t>
      </w:r>
    </w:p>
    <w:p>
      <w:pPr>
        <w:pStyle w:val="ListParagraph"/>
        <w:numPr>
          <w:ilvl w:val="0"/>
          <w:numId w:val="2"/>
        </w:numPr>
        <w:spacing w:after="60" w:line="280"/>
      </w:pPr>
      <w:r>
        <w:rPr>
          <w:rFonts w:ascii="Times New Roman" w:cs="Times New Roman" w:eastAsia="Times New Roman" w:hAnsi="Times New Roman"/>
          <w:sz w:val="22"/>
          <w:szCs w:val="22"/>
        </w:rPr>
        <w:t xml:space="preserve">LSTM models are trained offline; runtime never trains.</w:t>
      </w:r>
    </w:p>
    <w:p>
      <w:pPr>
        <w:pStyle w:val="ListParagraph"/>
        <w:numPr>
          <w:ilvl w:val="0"/>
          <w:numId w:val="2"/>
        </w:numPr>
        <w:spacing w:after="60" w:line="280"/>
      </w:pPr>
      <w:r>
        <w:rPr>
          <w:rFonts w:ascii="Times New Roman" w:cs="Times New Roman" w:eastAsia="Times New Roman" w:hAnsi="Times New Roman"/>
          <w:sz w:val="22"/>
          <w:szCs w:val="22"/>
        </w:rPr>
        <w:t xml:space="preserve">Concurrent users stay below 50 in the evaluation environment.</w:t>
      </w:r>
    </w:p>
    <w:p>
      <w:pPr>
        <w:pStyle w:val="ListParagraph"/>
        <w:numPr>
          <w:ilvl w:val="0"/>
          <w:numId w:val="2"/>
        </w:numPr>
        <w:spacing w:after="60" w:line="280"/>
      </w:pPr>
      <w:r>
        <w:rPr>
          <w:rFonts w:ascii="Times New Roman" w:cs="Times New Roman" w:eastAsia="Times New Roman" w:hAnsi="Times New Roman"/>
          <w:sz w:val="22"/>
          <w:szCs w:val="22"/>
        </w:rPr>
        <w:t xml:space="preserve">Database, backend, and ML service all run on the same Linux host during development.</w:t>
      </w:r>
    </w:p>
    <w:p>
      <w:pPr>
        <w:pStyle w:val="Heading2"/>
        <w:spacing w:after="100" w:before="200"/>
      </w:pPr>
      <w:r>
        <w:rPr>
          <w:rFonts w:ascii="Times New Roman" w:cs="Times New Roman" w:eastAsia="Times New Roman" w:hAnsi="Times New Roman"/>
          <w:b/>
          <w:bCs/>
          <w:sz w:val="25"/>
          <w:szCs w:val="25"/>
        </w:rPr>
        <w:t xml:space="preserve">3.3  Significant Design Packages</w:t>
      </w:r>
    </w:p>
    <w:p>
      <w:pPr>
        <w:spacing w:after="120" w:line="280"/>
        <w:jc w:val="both"/>
      </w:pPr>
      <w:r>
        <w:rPr>
          <w:rFonts w:ascii="Times New Roman" w:cs="Times New Roman" w:eastAsia="Times New Roman" w:hAnsi="Times New Roman"/>
          <w:sz w:val="22"/>
          <w:szCs w:val="22"/>
        </w:rPr>
        <w:t xml:space="preserve">Five top-level packages, each with one or two owners and a clear responsibility.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900"/>
        <w:gridCol w:w="5060"/>
      </w:tblGrid>
      <w:tr>
        <w:tc>
          <w:tcPr>
            <w:tcW w:type="dxa" w:w="2400"/>
            <w:tcBorders>
              <w:top w:val="single" w:color="888888" w:sz="4"/>
              <w:left w:val="single" w:color="888888" w:sz="4"/>
              <w:bottom w:val="single" w:color="888888" w:sz="4"/>
              <w:right w:val="single" w:color="888888" w:sz="4"/>
            </w:tcBorders>
            <w:shd w:fill="E8E8E8" w:val="clear"/>
            <w:tcMar>
              <w:top w:type="dxa" w:w="70"/>
              <w:left w:type="dxa" w:w="110"/>
              <w:bottom w:type="dxa" w:w="70"/>
              <w:right w:type="dxa" w:w="110"/>
            </w:tcMar>
          </w:tcPr>
          <w:p>
            <w:pPr>
              <w:spacing w:after="30"/>
            </w:pPr>
            <w:r>
              <w:rPr>
                <w:rFonts w:ascii="Times New Roman" w:cs="Times New Roman" w:eastAsia="Times New Roman" w:hAnsi="Times New Roman"/>
                <w:b/>
                <w:bCs/>
                <w:sz w:val="22"/>
                <w:szCs w:val="22"/>
              </w:rPr>
              <w:t xml:space="preserve">Package</w:t>
            </w:r>
          </w:p>
        </w:tc>
        <w:tc>
          <w:tcPr>
            <w:tcW w:type="dxa" w:w="1900"/>
            <w:tcBorders>
              <w:top w:val="single" w:color="888888" w:sz="4"/>
              <w:left w:val="single" w:color="888888" w:sz="4"/>
              <w:bottom w:val="single" w:color="888888" w:sz="4"/>
              <w:right w:val="single" w:color="888888" w:sz="4"/>
            </w:tcBorders>
            <w:shd w:fill="E8E8E8" w:val="clear"/>
            <w:tcMar>
              <w:top w:type="dxa" w:w="70"/>
              <w:left w:type="dxa" w:w="110"/>
              <w:bottom w:type="dxa" w:w="70"/>
              <w:right w:type="dxa" w:w="110"/>
            </w:tcMar>
          </w:tcPr>
          <w:p>
            <w:pPr>
              <w:spacing w:after="30"/>
            </w:pPr>
            <w:r>
              <w:rPr>
                <w:rFonts w:ascii="Times New Roman" w:cs="Times New Roman" w:eastAsia="Times New Roman" w:hAnsi="Times New Roman"/>
                <w:b/>
                <w:bCs/>
                <w:sz w:val="22"/>
                <w:szCs w:val="22"/>
              </w:rPr>
              <w:t xml:space="preserve">Owner</w:t>
            </w:r>
          </w:p>
        </w:tc>
        <w:tc>
          <w:tcPr>
            <w:tcW w:type="dxa" w:w="5060"/>
            <w:tcBorders>
              <w:top w:val="single" w:color="888888" w:sz="4"/>
              <w:left w:val="single" w:color="888888" w:sz="4"/>
              <w:bottom w:val="single" w:color="888888" w:sz="4"/>
              <w:right w:val="single" w:color="888888" w:sz="4"/>
            </w:tcBorders>
            <w:shd w:fill="E8E8E8" w:val="clear"/>
            <w:tcMar>
              <w:top w:type="dxa" w:w="70"/>
              <w:left w:type="dxa" w:w="110"/>
              <w:bottom w:type="dxa" w:w="70"/>
              <w:right w:type="dxa" w:w="110"/>
            </w:tcMar>
          </w:tcPr>
          <w:p>
            <w:pPr>
              <w:spacing w:after="30"/>
            </w:pPr>
            <w:r>
              <w:rPr>
                <w:rFonts w:ascii="Times New Roman" w:cs="Times New Roman" w:eastAsia="Times New Roman" w:hAnsi="Times New Roman"/>
                <w:b/>
                <w:bCs/>
                <w:sz w:val="22"/>
                <w:szCs w:val="22"/>
              </w:rPr>
              <w:t xml:space="preserve">Responsibility</w:t>
            </w:r>
          </w:p>
        </w:tc>
      </w:tr>
      <w:tr>
        <w:tc>
          <w:tcPr>
            <w:tcW w:type="dxa" w:w="2400"/>
            <w:tcBorders>
              <w:top w:val="single" w:color="888888" w:sz="4"/>
              <w:left w:val="single" w:color="888888" w:sz="4"/>
              <w:bottom w:val="single" w:color="888888" w:sz="4"/>
              <w:right w:val="single" w:color="888888" w:sz="4"/>
            </w:tcBorders>
            <w:tcMar>
              <w:top w:type="dxa" w:w="70"/>
              <w:left w:type="dxa" w:w="110"/>
              <w:bottom w:type="dxa" w:w="70"/>
              <w:right w:type="dxa" w:w="110"/>
            </w:tcMar>
          </w:tcPr>
          <w:p>
            <w:pPr>
              <w:spacing w:after="30"/>
            </w:pPr>
            <w:r>
              <w:rPr>
                <w:rFonts w:ascii="Times New Roman" w:cs="Times New Roman" w:eastAsia="Times New Roman" w:hAnsi="Times New Roman"/>
                <w:sz w:val="22"/>
                <w:szCs w:val="22"/>
              </w:rPr>
              <w:t xml:space="preserve">vakvic.frontend</w:t>
            </w:r>
          </w:p>
        </w:tc>
        <w:tc>
          <w:tcPr>
            <w:tcW w:type="dxa" w:w="1900"/>
            <w:tcBorders>
              <w:top w:val="single" w:color="888888" w:sz="4"/>
              <w:left w:val="single" w:color="888888" w:sz="4"/>
              <w:bottom w:val="single" w:color="888888" w:sz="4"/>
              <w:right w:val="single" w:color="888888" w:sz="4"/>
            </w:tcBorders>
            <w:tcMar>
              <w:top w:type="dxa" w:w="70"/>
              <w:left w:type="dxa" w:w="110"/>
              <w:bottom w:type="dxa" w:w="70"/>
              <w:right w:type="dxa" w:w="110"/>
            </w:tcMar>
          </w:tcPr>
          <w:p>
            <w:pPr>
              <w:spacing w:after="30"/>
            </w:pPr>
            <w:r>
              <w:rPr>
                <w:rFonts w:ascii="Times New Roman" w:cs="Times New Roman" w:eastAsia="Times New Roman" w:hAnsi="Times New Roman"/>
                <w:sz w:val="22"/>
                <w:szCs w:val="22"/>
              </w:rPr>
              <w:t xml:space="preserve">Vishwanath, Charan</w:t>
            </w:r>
          </w:p>
        </w:tc>
        <w:tc>
          <w:tcPr>
            <w:tcW w:type="dxa" w:w="5060"/>
            <w:tcBorders>
              <w:top w:val="single" w:color="888888" w:sz="4"/>
              <w:left w:val="single" w:color="888888" w:sz="4"/>
              <w:bottom w:val="single" w:color="888888" w:sz="4"/>
              <w:right w:val="single" w:color="888888" w:sz="4"/>
            </w:tcBorders>
            <w:tcMar>
              <w:top w:type="dxa" w:w="70"/>
              <w:left w:type="dxa" w:w="110"/>
              <w:bottom w:type="dxa" w:w="70"/>
              <w:right w:type="dxa" w:w="110"/>
            </w:tcMar>
          </w:tcPr>
          <w:p>
            <w:pPr>
              <w:spacing w:after="30"/>
            </w:pPr>
            <w:r>
              <w:rPr>
                <w:rFonts w:ascii="Times New Roman" w:cs="Times New Roman" w:eastAsia="Times New Roman" w:hAnsi="Times New Roman"/>
                <w:sz w:val="22"/>
                <w:szCs w:val="22"/>
              </w:rPr>
              <w:t xml:space="preserve">React SPA: Dashboard, Compare, Portfolio, Watchlist, Auth.</w:t>
            </w:r>
          </w:p>
        </w:tc>
      </w:tr>
      <w:tr>
        <w:tc>
          <w:tcPr>
            <w:tcW w:type="dxa" w:w="2400"/>
            <w:tcBorders>
              <w:top w:val="single" w:color="888888" w:sz="4"/>
              <w:left w:val="single" w:color="888888" w:sz="4"/>
              <w:bottom w:val="single" w:color="888888" w:sz="4"/>
              <w:right w:val="single" w:color="888888" w:sz="4"/>
            </w:tcBorders>
            <w:tcMar>
              <w:top w:type="dxa" w:w="70"/>
              <w:left w:type="dxa" w:w="110"/>
              <w:bottom w:type="dxa" w:w="70"/>
              <w:right w:type="dxa" w:w="110"/>
            </w:tcMar>
          </w:tcPr>
          <w:p>
            <w:pPr>
              <w:spacing w:after="30"/>
            </w:pPr>
            <w:r>
              <w:rPr>
                <w:rFonts w:ascii="Times New Roman" w:cs="Times New Roman" w:eastAsia="Times New Roman" w:hAnsi="Times New Roman"/>
                <w:sz w:val="22"/>
                <w:szCs w:val="22"/>
              </w:rPr>
              <w:t xml:space="preserve">vakvic.backend.api</w:t>
            </w:r>
          </w:p>
        </w:tc>
        <w:tc>
          <w:tcPr>
            <w:tcW w:type="dxa" w:w="1900"/>
            <w:tcBorders>
              <w:top w:val="single" w:color="888888" w:sz="4"/>
              <w:left w:val="single" w:color="888888" w:sz="4"/>
              <w:bottom w:val="single" w:color="888888" w:sz="4"/>
              <w:right w:val="single" w:color="888888" w:sz="4"/>
            </w:tcBorders>
            <w:tcMar>
              <w:top w:type="dxa" w:w="70"/>
              <w:left w:type="dxa" w:w="110"/>
              <w:bottom w:type="dxa" w:w="70"/>
              <w:right w:type="dxa" w:w="110"/>
            </w:tcMar>
          </w:tcPr>
          <w:p>
            <w:pPr>
              <w:spacing w:after="30"/>
            </w:pPr>
            <w:r>
              <w:rPr>
                <w:rFonts w:ascii="Times New Roman" w:cs="Times New Roman" w:eastAsia="Times New Roman" w:hAnsi="Times New Roman"/>
                <w:sz w:val="22"/>
                <w:szCs w:val="22"/>
              </w:rPr>
              <w:t xml:space="preserve">Koushik</w:t>
            </w:r>
          </w:p>
        </w:tc>
        <w:tc>
          <w:tcPr>
            <w:tcW w:type="dxa" w:w="5060"/>
            <w:tcBorders>
              <w:top w:val="single" w:color="888888" w:sz="4"/>
              <w:left w:val="single" w:color="888888" w:sz="4"/>
              <w:bottom w:val="single" w:color="888888" w:sz="4"/>
              <w:right w:val="single" w:color="888888" w:sz="4"/>
            </w:tcBorders>
            <w:tcMar>
              <w:top w:type="dxa" w:w="70"/>
              <w:left w:type="dxa" w:w="110"/>
              <w:bottom w:type="dxa" w:w="70"/>
              <w:right w:type="dxa" w:w="110"/>
            </w:tcMar>
          </w:tcPr>
          <w:p>
            <w:pPr>
              <w:spacing w:after="30"/>
            </w:pPr>
            <w:r>
              <w:rPr>
                <w:rFonts w:ascii="Times New Roman" w:cs="Times New Roman" w:eastAsia="Times New Roman" w:hAnsi="Times New Roman"/>
                <w:sz w:val="22"/>
                <w:szCs w:val="22"/>
              </w:rPr>
              <w:t xml:space="preserve">Express REST controllers, JWT auth, validation.</w:t>
            </w:r>
          </w:p>
        </w:tc>
      </w:tr>
      <w:tr>
        <w:tc>
          <w:tcPr>
            <w:tcW w:type="dxa" w:w="2400"/>
            <w:tcBorders>
              <w:top w:val="single" w:color="888888" w:sz="4"/>
              <w:left w:val="single" w:color="888888" w:sz="4"/>
              <w:bottom w:val="single" w:color="888888" w:sz="4"/>
              <w:right w:val="single" w:color="888888" w:sz="4"/>
            </w:tcBorders>
            <w:tcMar>
              <w:top w:type="dxa" w:w="70"/>
              <w:left w:type="dxa" w:w="110"/>
              <w:bottom w:type="dxa" w:w="70"/>
              <w:right w:type="dxa" w:w="110"/>
            </w:tcMar>
          </w:tcPr>
          <w:p>
            <w:pPr>
              <w:spacing w:after="30"/>
            </w:pPr>
            <w:r>
              <w:rPr>
                <w:rFonts w:ascii="Times New Roman" w:cs="Times New Roman" w:eastAsia="Times New Roman" w:hAnsi="Times New Roman"/>
                <w:sz w:val="22"/>
                <w:szCs w:val="22"/>
              </w:rPr>
              <w:t xml:space="preserve">vakvic.backend.dal</w:t>
            </w:r>
          </w:p>
        </w:tc>
        <w:tc>
          <w:tcPr>
            <w:tcW w:type="dxa" w:w="1900"/>
            <w:tcBorders>
              <w:top w:val="single" w:color="888888" w:sz="4"/>
              <w:left w:val="single" w:color="888888" w:sz="4"/>
              <w:bottom w:val="single" w:color="888888" w:sz="4"/>
              <w:right w:val="single" w:color="888888" w:sz="4"/>
            </w:tcBorders>
            <w:tcMar>
              <w:top w:type="dxa" w:w="70"/>
              <w:left w:type="dxa" w:w="110"/>
              <w:bottom w:type="dxa" w:w="70"/>
              <w:right w:type="dxa" w:w="110"/>
            </w:tcMar>
          </w:tcPr>
          <w:p>
            <w:pPr>
              <w:spacing w:after="30"/>
            </w:pPr>
            <w:r>
              <w:rPr>
                <w:rFonts w:ascii="Times New Roman" w:cs="Times New Roman" w:eastAsia="Times New Roman" w:hAnsi="Times New Roman"/>
                <w:sz w:val="22"/>
                <w:szCs w:val="22"/>
              </w:rPr>
              <w:t xml:space="preserve">Amogh + Koushik</w:t>
            </w:r>
          </w:p>
        </w:tc>
        <w:tc>
          <w:tcPr>
            <w:tcW w:type="dxa" w:w="5060"/>
            <w:tcBorders>
              <w:top w:val="single" w:color="888888" w:sz="4"/>
              <w:left w:val="single" w:color="888888" w:sz="4"/>
              <w:bottom w:val="single" w:color="888888" w:sz="4"/>
              <w:right w:val="single" w:color="888888" w:sz="4"/>
            </w:tcBorders>
            <w:tcMar>
              <w:top w:type="dxa" w:w="70"/>
              <w:left w:type="dxa" w:w="110"/>
              <w:bottom w:type="dxa" w:w="70"/>
              <w:right w:type="dxa" w:w="110"/>
            </w:tcMar>
          </w:tcPr>
          <w:p>
            <w:pPr>
              <w:spacing w:after="30"/>
            </w:pPr>
            <w:r>
              <w:rPr>
                <w:rFonts w:ascii="Times New Roman" w:cs="Times New Roman" w:eastAsia="Times New Roman" w:hAnsi="Times New Roman"/>
                <w:sz w:val="22"/>
                <w:szCs w:val="22"/>
              </w:rPr>
              <w:t xml:space="preserve">Helper functions wrapping every database operation.</w:t>
            </w:r>
          </w:p>
        </w:tc>
      </w:tr>
      <w:tr>
        <w:tc>
          <w:tcPr>
            <w:tcW w:type="dxa" w:w="2400"/>
            <w:tcBorders>
              <w:top w:val="single" w:color="888888" w:sz="4"/>
              <w:left w:val="single" w:color="888888" w:sz="4"/>
              <w:bottom w:val="single" w:color="888888" w:sz="4"/>
              <w:right w:val="single" w:color="888888" w:sz="4"/>
            </w:tcBorders>
            <w:tcMar>
              <w:top w:type="dxa" w:w="70"/>
              <w:left w:type="dxa" w:w="110"/>
              <w:bottom w:type="dxa" w:w="70"/>
              <w:right w:type="dxa" w:w="110"/>
            </w:tcMar>
          </w:tcPr>
          <w:p>
            <w:pPr>
              <w:spacing w:after="30"/>
            </w:pPr>
            <w:r>
              <w:rPr>
                <w:rFonts w:ascii="Times New Roman" w:cs="Times New Roman" w:eastAsia="Times New Roman" w:hAnsi="Times New Roman"/>
                <w:sz w:val="22"/>
                <w:szCs w:val="22"/>
              </w:rPr>
              <w:t xml:space="preserve">vakvic.ml</w:t>
            </w:r>
          </w:p>
        </w:tc>
        <w:tc>
          <w:tcPr>
            <w:tcW w:type="dxa" w:w="1900"/>
            <w:tcBorders>
              <w:top w:val="single" w:color="888888" w:sz="4"/>
              <w:left w:val="single" w:color="888888" w:sz="4"/>
              <w:bottom w:val="single" w:color="888888" w:sz="4"/>
              <w:right w:val="single" w:color="888888" w:sz="4"/>
            </w:tcBorders>
            <w:tcMar>
              <w:top w:type="dxa" w:w="70"/>
              <w:left w:type="dxa" w:w="110"/>
              <w:bottom w:type="dxa" w:w="70"/>
              <w:right w:type="dxa" w:w="110"/>
            </w:tcMar>
          </w:tcPr>
          <w:p>
            <w:pPr>
              <w:spacing w:after="30"/>
            </w:pPr>
            <w:r>
              <w:rPr>
                <w:rFonts w:ascii="Times New Roman" w:cs="Times New Roman" w:eastAsia="Times New Roman" w:hAnsi="Times New Roman"/>
                <w:sz w:val="22"/>
                <w:szCs w:val="22"/>
              </w:rPr>
              <w:t xml:space="preserve">Venkat, Vivardhan</w:t>
            </w:r>
          </w:p>
        </w:tc>
        <w:tc>
          <w:tcPr>
            <w:tcW w:type="dxa" w:w="5060"/>
            <w:tcBorders>
              <w:top w:val="single" w:color="888888" w:sz="4"/>
              <w:left w:val="single" w:color="888888" w:sz="4"/>
              <w:bottom w:val="single" w:color="888888" w:sz="4"/>
              <w:right w:val="single" w:color="888888" w:sz="4"/>
            </w:tcBorders>
            <w:tcMar>
              <w:top w:type="dxa" w:w="70"/>
              <w:left w:type="dxa" w:w="110"/>
              <w:bottom w:type="dxa" w:w="70"/>
              <w:right w:type="dxa" w:w="110"/>
            </w:tcMar>
          </w:tcPr>
          <w:p>
            <w:pPr>
              <w:spacing w:after="30"/>
            </w:pPr>
            <w:r>
              <w:rPr>
                <w:rFonts w:ascii="Times New Roman" w:cs="Times New Roman" w:eastAsia="Times New Roman" w:hAnsi="Times New Roman"/>
                <w:sz w:val="22"/>
                <w:szCs w:val="22"/>
              </w:rPr>
              <w:t xml:space="preserve">LSTM inference, suitability scoring, Markowitz optimizer.</w:t>
            </w:r>
          </w:p>
        </w:tc>
      </w:tr>
      <w:tr>
        <w:tc>
          <w:tcPr>
            <w:tcW w:type="dxa" w:w="2400"/>
            <w:tcBorders>
              <w:top w:val="single" w:color="888888" w:sz="4"/>
              <w:left w:val="single" w:color="888888" w:sz="4"/>
              <w:bottom w:val="single" w:color="888888" w:sz="4"/>
              <w:right w:val="single" w:color="888888" w:sz="4"/>
            </w:tcBorders>
            <w:tcMar>
              <w:top w:type="dxa" w:w="70"/>
              <w:left w:type="dxa" w:w="110"/>
              <w:bottom w:type="dxa" w:w="70"/>
              <w:right w:type="dxa" w:w="110"/>
            </w:tcMar>
          </w:tcPr>
          <w:p>
            <w:pPr>
              <w:spacing w:after="30"/>
            </w:pPr>
            <w:r>
              <w:rPr>
                <w:rFonts w:ascii="Times New Roman" w:cs="Times New Roman" w:eastAsia="Times New Roman" w:hAnsi="Times New Roman"/>
                <w:sz w:val="22"/>
                <w:szCs w:val="22"/>
              </w:rPr>
              <w:t xml:space="preserve">vakvic.ingestion</w:t>
            </w:r>
          </w:p>
        </w:tc>
        <w:tc>
          <w:tcPr>
            <w:tcW w:type="dxa" w:w="1900"/>
            <w:tcBorders>
              <w:top w:val="single" w:color="888888" w:sz="4"/>
              <w:left w:val="single" w:color="888888" w:sz="4"/>
              <w:bottom w:val="single" w:color="888888" w:sz="4"/>
              <w:right w:val="single" w:color="888888" w:sz="4"/>
            </w:tcBorders>
            <w:tcMar>
              <w:top w:type="dxa" w:w="70"/>
              <w:left w:type="dxa" w:w="110"/>
              <w:bottom w:type="dxa" w:w="70"/>
              <w:right w:type="dxa" w:w="110"/>
            </w:tcMar>
          </w:tcPr>
          <w:p>
            <w:pPr>
              <w:spacing w:after="30"/>
            </w:pPr>
            <w:r>
              <w:rPr>
                <w:rFonts w:ascii="Times New Roman" w:cs="Times New Roman" w:eastAsia="Times New Roman" w:hAnsi="Times New Roman"/>
                <w:sz w:val="22"/>
                <w:szCs w:val="22"/>
              </w:rPr>
              <w:t xml:space="preserve">Amogh</w:t>
            </w:r>
          </w:p>
        </w:tc>
        <w:tc>
          <w:tcPr>
            <w:tcW w:type="dxa" w:w="5060"/>
            <w:tcBorders>
              <w:top w:val="single" w:color="888888" w:sz="4"/>
              <w:left w:val="single" w:color="888888" w:sz="4"/>
              <w:bottom w:val="single" w:color="888888" w:sz="4"/>
              <w:right w:val="single" w:color="888888" w:sz="4"/>
            </w:tcBorders>
            <w:tcMar>
              <w:top w:type="dxa" w:w="70"/>
              <w:left w:type="dxa" w:w="110"/>
              <w:bottom w:type="dxa" w:w="70"/>
              <w:right w:type="dxa" w:w="110"/>
            </w:tcMar>
          </w:tcPr>
          <w:p>
            <w:pPr>
              <w:spacing w:after="30"/>
            </w:pPr>
            <w:r>
              <w:rPr>
                <w:rFonts w:ascii="Times New Roman" w:cs="Times New Roman" w:eastAsia="Times New Roman" w:hAnsi="Times New Roman"/>
                <w:sz w:val="22"/>
                <w:szCs w:val="22"/>
              </w:rPr>
              <w:t xml:space="preserve">Daily yfinance fetch with retry/backoff.</w:t>
            </w:r>
          </w:p>
        </w:tc>
      </w:tr>
    </w:tbl>
    <w:p>
      <w:pPr>
        <w:spacing w:after="120" w:line="280"/>
        <w:jc w:val="both"/>
      </w:pPr>
      <w:r>
        <w:rPr>
          <w:rFonts w:ascii="Times New Roman" w:cs="Times New Roman" w:eastAsia="Times New Roman" w:hAnsi="Times New Roman"/>
          <w:i/>
          <w:iCs/>
          <w:sz w:val="22"/>
          <w:szCs w:val="22"/>
        </w:rPr>
        <w:t xml:space="preserve">Dependencies flow strictly downward: frontend → backend.api → (dal, ml). The DAL and ML service do not call each other.</w:t>
      </w:r>
    </w:p>
    <w:p>
      <w:r>
        <w:br w:type="page"/>
      </w:r>
    </w:p>
    <w:p>
      <w:pPr>
        <w:spacing w:after="80" w:before="200"/>
        <w:jc w:val="center"/>
      </w:pPr>
      <w:r>
        <w:drawing>
          <wp:inline distT="0" distB="0" distL="0" distR="0">
            <wp:extent cx="5524500" cy="3314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3314700"/>
                    </a:xfrm>
                    <a:prstGeom prst="rect">
                      <a:avLst/>
                    </a:prstGeom>
                  </pic:spPr>
                </pic:pic>
              </a:graphicData>
            </a:graphic>
          </wp:inline>
        </w:drawing>
      </w:r>
    </w:p>
    <w:p>
      <w:pPr>
        <w:spacing w:after="200"/>
        <w:jc w:val="center"/>
      </w:pPr>
      <w:r>
        <w:rPr>
          <w:rFonts w:ascii="Times New Roman" w:cs="Times New Roman" w:eastAsia="Times New Roman" w:hAnsi="Times New Roman"/>
          <w:i/>
          <w:iCs/>
          <w:color w:val="555555"/>
          <w:sz w:val="20"/>
          <w:szCs w:val="20"/>
        </w:rPr>
        <w:t xml:space="preserve">Figure 2 — Package Diagram. Dependencies flow strictly downward; the DAL and ML service do not call each other.</w:t>
      </w:r>
    </w:p>
    <w:p>
      <w:pPr>
        <w:pStyle w:val="Heading2"/>
        <w:spacing w:after="100" w:before="200"/>
      </w:pPr>
      <w:r>
        <w:rPr>
          <w:rFonts w:ascii="Times New Roman" w:cs="Times New Roman" w:eastAsia="Times New Roman" w:hAnsi="Times New Roman"/>
          <w:b/>
          <w:bCs/>
          <w:sz w:val="25"/>
          <w:szCs w:val="25"/>
        </w:rPr>
        <w:t xml:space="preserve">3.4  Dependent External Interfaces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400"/>
        <w:gridCol w:w="4660"/>
      </w:tblGrid>
      <w:tr>
        <w:tc>
          <w:tcPr>
            <w:tcW w:type="dxa" w:w="2300"/>
            <w:tcBorders>
              <w:top w:val="single" w:color="888888" w:sz="4"/>
              <w:left w:val="single" w:color="888888" w:sz="4"/>
              <w:bottom w:val="single" w:color="888888" w:sz="4"/>
              <w:right w:val="single" w:color="888888" w:sz="4"/>
            </w:tcBorders>
            <w:shd w:fill="E8E8E8" w:val="clear"/>
            <w:tcMar>
              <w:top w:type="dxa" w:w="70"/>
              <w:left w:type="dxa" w:w="110"/>
              <w:bottom w:type="dxa" w:w="70"/>
              <w:right w:type="dxa" w:w="110"/>
            </w:tcMar>
          </w:tcPr>
          <w:p>
            <w:pPr>
              <w:spacing w:after="30"/>
            </w:pPr>
            <w:r>
              <w:rPr>
                <w:rFonts w:ascii="Times New Roman" w:cs="Times New Roman" w:eastAsia="Times New Roman" w:hAnsi="Times New Roman"/>
                <w:b/>
                <w:bCs/>
                <w:sz w:val="22"/>
                <w:szCs w:val="22"/>
              </w:rPr>
              <w:t xml:space="preserve">External Interface</w:t>
            </w:r>
          </w:p>
        </w:tc>
        <w:tc>
          <w:tcPr>
            <w:tcW w:type="dxa" w:w="2400"/>
            <w:tcBorders>
              <w:top w:val="single" w:color="888888" w:sz="4"/>
              <w:left w:val="single" w:color="888888" w:sz="4"/>
              <w:bottom w:val="single" w:color="888888" w:sz="4"/>
              <w:right w:val="single" w:color="888888" w:sz="4"/>
            </w:tcBorders>
            <w:shd w:fill="E8E8E8" w:val="clear"/>
            <w:tcMar>
              <w:top w:type="dxa" w:w="70"/>
              <w:left w:type="dxa" w:w="110"/>
              <w:bottom w:type="dxa" w:w="70"/>
              <w:right w:type="dxa" w:w="110"/>
            </w:tcMar>
          </w:tcPr>
          <w:p>
            <w:pPr>
              <w:spacing w:after="30"/>
            </w:pPr>
            <w:r>
              <w:rPr>
                <w:rFonts w:ascii="Times New Roman" w:cs="Times New Roman" w:eastAsia="Times New Roman" w:hAnsi="Times New Roman"/>
                <w:b/>
                <w:bCs/>
                <w:sz w:val="22"/>
                <w:szCs w:val="22"/>
              </w:rPr>
              <w:t xml:space="preserve">Module Using It</w:t>
            </w:r>
          </w:p>
        </w:tc>
        <w:tc>
          <w:tcPr>
            <w:tcW w:type="dxa" w:w="4660"/>
            <w:tcBorders>
              <w:top w:val="single" w:color="888888" w:sz="4"/>
              <w:left w:val="single" w:color="888888" w:sz="4"/>
              <w:bottom w:val="single" w:color="888888" w:sz="4"/>
              <w:right w:val="single" w:color="888888" w:sz="4"/>
            </w:tcBorders>
            <w:shd w:fill="E8E8E8" w:val="clear"/>
            <w:tcMar>
              <w:top w:type="dxa" w:w="70"/>
              <w:left w:type="dxa" w:w="110"/>
              <w:bottom w:type="dxa" w:w="70"/>
              <w:right w:type="dxa" w:w="110"/>
            </w:tcMar>
          </w:tcPr>
          <w:p>
            <w:pPr>
              <w:spacing w:after="30"/>
            </w:pPr>
            <w:r>
              <w:rPr>
                <w:rFonts w:ascii="Times New Roman" w:cs="Times New Roman" w:eastAsia="Times New Roman" w:hAnsi="Times New Roman"/>
                <w:b/>
                <w:bCs/>
                <w:sz w:val="22"/>
                <w:szCs w:val="22"/>
              </w:rPr>
              <w:t xml:space="preserve">Functionality</w:t>
            </w:r>
          </w:p>
        </w:tc>
      </w:tr>
      <w:tr>
        <w:tc>
          <w:tcPr>
            <w:tcW w:type="dxa" w:w="2300"/>
            <w:tcBorders>
              <w:top w:val="single" w:color="888888" w:sz="4"/>
              <w:left w:val="single" w:color="888888" w:sz="4"/>
              <w:bottom w:val="single" w:color="888888" w:sz="4"/>
              <w:right w:val="single" w:color="888888" w:sz="4"/>
            </w:tcBorders>
            <w:tcMar>
              <w:top w:type="dxa" w:w="70"/>
              <w:left w:type="dxa" w:w="110"/>
              <w:bottom w:type="dxa" w:w="70"/>
              <w:right w:type="dxa" w:w="110"/>
            </w:tcMar>
          </w:tcPr>
          <w:p>
            <w:pPr>
              <w:spacing w:after="30"/>
            </w:pPr>
            <w:r>
              <w:rPr>
                <w:rFonts w:ascii="Times New Roman" w:cs="Times New Roman" w:eastAsia="Times New Roman" w:hAnsi="Times New Roman"/>
                <w:sz w:val="22"/>
                <w:szCs w:val="22"/>
              </w:rPr>
              <w:t xml:space="preserve">yfinance (Python)</w:t>
            </w:r>
          </w:p>
        </w:tc>
        <w:tc>
          <w:tcPr>
            <w:tcW w:type="dxa" w:w="2400"/>
            <w:tcBorders>
              <w:top w:val="single" w:color="888888" w:sz="4"/>
              <w:left w:val="single" w:color="888888" w:sz="4"/>
              <w:bottom w:val="single" w:color="888888" w:sz="4"/>
              <w:right w:val="single" w:color="888888" w:sz="4"/>
            </w:tcBorders>
            <w:tcMar>
              <w:top w:type="dxa" w:w="70"/>
              <w:left w:type="dxa" w:w="110"/>
              <w:bottom w:type="dxa" w:w="70"/>
              <w:right w:type="dxa" w:w="110"/>
            </w:tcMar>
          </w:tcPr>
          <w:p>
            <w:pPr>
              <w:spacing w:after="30"/>
            </w:pPr>
            <w:r>
              <w:rPr>
                <w:rFonts w:ascii="Times New Roman" w:cs="Times New Roman" w:eastAsia="Times New Roman" w:hAnsi="Times New Roman"/>
                <w:sz w:val="22"/>
                <w:szCs w:val="22"/>
              </w:rPr>
              <w:t xml:space="preserve">vakvic.ingestion</w:t>
            </w:r>
          </w:p>
        </w:tc>
        <w:tc>
          <w:tcPr>
            <w:tcW w:type="dxa" w:w="4660"/>
            <w:tcBorders>
              <w:top w:val="single" w:color="888888" w:sz="4"/>
              <w:left w:val="single" w:color="888888" w:sz="4"/>
              <w:bottom w:val="single" w:color="888888" w:sz="4"/>
              <w:right w:val="single" w:color="888888" w:sz="4"/>
            </w:tcBorders>
            <w:tcMar>
              <w:top w:type="dxa" w:w="70"/>
              <w:left w:type="dxa" w:w="110"/>
              <w:bottom w:type="dxa" w:w="70"/>
              <w:right w:type="dxa" w:w="110"/>
            </w:tcMar>
          </w:tcPr>
          <w:p>
            <w:pPr>
              <w:spacing w:after="30"/>
            </w:pPr>
            <w:r>
              <w:rPr>
                <w:rFonts w:ascii="Times New Roman" w:cs="Times New Roman" w:eastAsia="Times New Roman" w:hAnsi="Times New Roman"/>
                <w:sz w:val="22"/>
                <w:szCs w:val="22"/>
              </w:rPr>
              <w:t xml:space="preserve">Fetches daily OHLCV history for each ticker.</w:t>
            </w:r>
          </w:p>
        </w:tc>
      </w:tr>
      <w:tr>
        <w:tc>
          <w:tcPr>
            <w:tcW w:type="dxa" w:w="2300"/>
            <w:tcBorders>
              <w:top w:val="single" w:color="888888" w:sz="4"/>
              <w:left w:val="single" w:color="888888" w:sz="4"/>
              <w:bottom w:val="single" w:color="888888" w:sz="4"/>
              <w:right w:val="single" w:color="888888" w:sz="4"/>
            </w:tcBorders>
            <w:tcMar>
              <w:top w:type="dxa" w:w="70"/>
              <w:left w:type="dxa" w:w="110"/>
              <w:bottom w:type="dxa" w:w="70"/>
              <w:right w:type="dxa" w:w="110"/>
            </w:tcMar>
          </w:tcPr>
          <w:p>
            <w:pPr>
              <w:spacing w:after="30"/>
            </w:pPr>
            <w:r>
              <w:rPr>
                <w:rFonts w:ascii="Times New Roman" w:cs="Times New Roman" w:eastAsia="Times New Roman" w:hAnsi="Times New Roman"/>
                <w:sz w:val="22"/>
                <w:szCs w:val="22"/>
              </w:rPr>
              <w:t xml:space="preserve">TensorFlow/Keras</w:t>
            </w:r>
          </w:p>
        </w:tc>
        <w:tc>
          <w:tcPr>
            <w:tcW w:type="dxa" w:w="2400"/>
            <w:tcBorders>
              <w:top w:val="single" w:color="888888" w:sz="4"/>
              <w:left w:val="single" w:color="888888" w:sz="4"/>
              <w:bottom w:val="single" w:color="888888" w:sz="4"/>
              <w:right w:val="single" w:color="888888" w:sz="4"/>
            </w:tcBorders>
            <w:tcMar>
              <w:top w:type="dxa" w:w="70"/>
              <w:left w:type="dxa" w:w="110"/>
              <w:bottom w:type="dxa" w:w="70"/>
              <w:right w:type="dxa" w:w="110"/>
            </w:tcMar>
          </w:tcPr>
          <w:p>
            <w:pPr>
              <w:spacing w:after="30"/>
            </w:pPr>
            <w:r>
              <w:rPr>
                <w:rFonts w:ascii="Times New Roman" w:cs="Times New Roman" w:eastAsia="Times New Roman" w:hAnsi="Times New Roman"/>
                <w:sz w:val="22"/>
                <w:szCs w:val="22"/>
              </w:rPr>
              <w:t xml:space="preserve">vakvic.ml.predictor</w:t>
            </w:r>
          </w:p>
        </w:tc>
        <w:tc>
          <w:tcPr>
            <w:tcW w:type="dxa" w:w="4660"/>
            <w:tcBorders>
              <w:top w:val="single" w:color="888888" w:sz="4"/>
              <w:left w:val="single" w:color="888888" w:sz="4"/>
              <w:bottom w:val="single" w:color="888888" w:sz="4"/>
              <w:right w:val="single" w:color="888888" w:sz="4"/>
            </w:tcBorders>
            <w:tcMar>
              <w:top w:type="dxa" w:w="70"/>
              <w:left w:type="dxa" w:w="110"/>
              <w:bottom w:type="dxa" w:w="70"/>
              <w:right w:type="dxa" w:w="110"/>
            </w:tcMar>
          </w:tcPr>
          <w:p>
            <w:pPr>
              <w:spacing w:after="30"/>
            </w:pPr>
            <w:r>
              <w:rPr>
                <w:rFonts w:ascii="Times New Roman" w:cs="Times New Roman" w:eastAsia="Times New Roman" w:hAnsi="Times New Roman"/>
                <w:sz w:val="22"/>
                <w:szCs w:val="22"/>
              </w:rPr>
              <w:t xml:space="preserve">Loads pre-trained LSTM models and runs inference.</w:t>
            </w:r>
          </w:p>
        </w:tc>
      </w:tr>
      <w:tr>
        <w:tc>
          <w:tcPr>
            <w:tcW w:type="dxa" w:w="2300"/>
            <w:tcBorders>
              <w:top w:val="single" w:color="888888" w:sz="4"/>
              <w:left w:val="single" w:color="888888" w:sz="4"/>
              <w:bottom w:val="single" w:color="888888" w:sz="4"/>
              <w:right w:val="single" w:color="888888" w:sz="4"/>
            </w:tcBorders>
            <w:tcMar>
              <w:top w:type="dxa" w:w="70"/>
              <w:left w:type="dxa" w:w="110"/>
              <w:bottom w:type="dxa" w:w="70"/>
              <w:right w:type="dxa" w:w="110"/>
            </w:tcMar>
          </w:tcPr>
          <w:p>
            <w:pPr>
              <w:spacing w:after="30"/>
            </w:pPr>
            <w:r>
              <w:rPr>
                <w:rFonts w:ascii="Times New Roman" w:cs="Times New Roman" w:eastAsia="Times New Roman" w:hAnsi="Times New Roman"/>
                <w:sz w:val="22"/>
                <w:szCs w:val="22"/>
              </w:rPr>
              <w:t xml:space="preserve">scikit-learn / cvxpy</w:t>
            </w:r>
          </w:p>
        </w:tc>
        <w:tc>
          <w:tcPr>
            <w:tcW w:type="dxa" w:w="2400"/>
            <w:tcBorders>
              <w:top w:val="single" w:color="888888" w:sz="4"/>
              <w:left w:val="single" w:color="888888" w:sz="4"/>
              <w:bottom w:val="single" w:color="888888" w:sz="4"/>
              <w:right w:val="single" w:color="888888" w:sz="4"/>
            </w:tcBorders>
            <w:tcMar>
              <w:top w:type="dxa" w:w="70"/>
              <w:left w:type="dxa" w:w="110"/>
              <w:bottom w:type="dxa" w:w="70"/>
              <w:right w:type="dxa" w:w="110"/>
            </w:tcMar>
          </w:tcPr>
          <w:p>
            <w:pPr>
              <w:spacing w:after="30"/>
            </w:pPr>
            <w:r>
              <w:rPr>
                <w:rFonts w:ascii="Times New Roman" w:cs="Times New Roman" w:eastAsia="Times New Roman" w:hAnsi="Times New Roman"/>
                <w:sz w:val="22"/>
                <w:szCs w:val="22"/>
              </w:rPr>
              <w:t xml:space="preserve">vakvic.ml</w:t>
            </w:r>
          </w:p>
        </w:tc>
        <w:tc>
          <w:tcPr>
            <w:tcW w:type="dxa" w:w="4660"/>
            <w:tcBorders>
              <w:top w:val="single" w:color="888888" w:sz="4"/>
              <w:left w:val="single" w:color="888888" w:sz="4"/>
              <w:bottom w:val="single" w:color="888888" w:sz="4"/>
              <w:right w:val="single" w:color="888888" w:sz="4"/>
            </w:tcBorders>
            <w:tcMar>
              <w:top w:type="dxa" w:w="70"/>
              <w:left w:type="dxa" w:w="110"/>
              <w:bottom w:type="dxa" w:w="70"/>
              <w:right w:type="dxa" w:w="110"/>
            </w:tcMar>
          </w:tcPr>
          <w:p>
            <w:pPr>
              <w:spacing w:after="30"/>
            </w:pPr>
            <w:r>
              <w:rPr>
                <w:rFonts w:ascii="Times New Roman" w:cs="Times New Roman" w:eastAsia="Times New Roman" w:hAnsi="Times New Roman"/>
                <w:sz w:val="22"/>
                <w:szCs w:val="22"/>
              </w:rPr>
              <w:t xml:space="preserve">Statistical primitives and Markowitz solver.</w:t>
            </w:r>
          </w:p>
        </w:tc>
      </w:tr>
      <w:tr>
        <w:tc>
          <w:tcPr>
            <w:tcW w:type="dxa" w:w="2300"/>
            <w:tcBorders>
              <w:top w:val="single" w:color="888888" w:sz="4"/>
              <w:left w:val="single" w:color="888888" w:sz="4"/>
              <w:bottom w:val="single" w:color="888888" w:sz="4"/>
              <w:right w:val="single" w:color="888888" w:sz="4"/>
            </w:tcBorders>
            <w:tcMar>
              <w:top w:type="dxa" w:w="70"/>
              <w:left w:type="dxa" w:w="110"/>
              <w:bottom w:type="dxa" w:w="70"/>
              <w:right w:type="dxa" w:w="110"/>
            </w:tcMar>
          </w:tcPr>
          <w:p>
            <w:pPr>
              <w:spacing w:after="30"/>
            </w:pPr>
            <w:r>
              <w:rPr>
                <w:rFonts w:ascii="Times New Roman" w:cs="Times New Roman" w:eastAsia="Times New Roman" w:hAnsi="Times New Roman"/>
                <w:sz w:val="22"/>
                <w:szCs w:val="22"/>
              </w:rPr>
              <w:t xml:space="preserve">pg driver / psycopg2</w:t>
            </w:r>
          </w:p>
        </w:tc>
        <w:tc>
          <w:tcPr>
            <w:tcW w:type="dxa" w:w="2400"/>
            <w:tcBorders>
              <w:top w:val="single" w:color="888888" w:sz="4"/>
              <w:left w:val="single" w:color="888888" w:sz="4"/>
              <w:bottom w:val="single" w:color="888888" w:sz="4"/>
              <w:right w:val="single" w:color="888888" w:sz="4"/>
            </w:tcBorders>
            <w:tcMar>
              <w:top w:type="dxa" w:w="70"/>
              <w:left w:type="dxa" w:w="110"/>
              <w:bottom w:type="dxa" w:w="70"/>
              <w:right w:type="dxa" w:w="110"/>
            </w:tcMar>
          </w:tcPr>
          <w:p>
            <w:pPr>
              <w:spacing w:after="30"/>
            </w:pPr>
            <w:r>
              <w:rPr>
                <w:rFonts w:ascii="Times New Roman" w:cs="Times New Roman" w:eastAsia="Times New Roman" w:hAnsi="Times New Roman"/>
                <w:sz w:val="22"/>
                <w:szCs w:val="22"/>
              </w:rPr>
              <w:t xml:space="preserve">dal / ml / ingestion</w:t>
            </w:r>
          </w:p>
        </w:tc>
        <w:tc>
          <w:tcPr>
            <w:tcW w:type="dxa" w:w="4660"/>
            <w:tcBorders>
              <w:top w:val="single" w:color="888888" w:sz="4"/>
              <w:left w:val="single" w:color="888888" w:sz="4"/>
              <w:bottom w:val="single" w:color="888888" w:sz="4"/>
              <w:right w:val="single" w:color="888888" w:sz="4"/>
            </w:tcBorders>
            <w:tcMar>
              <w:top w:type="dxa" w:w="70"/>
              <w:left w:type="dxa" w:w="110"/>
              <w:bottom w:type="dxa" w:w="70"/>
              <w:right w:type="dxa" w:w="110"/>
            </w:tcMar>
          </w:tcPr>
          <w:p>
            <w:pPr>
              <w:spacing w:after="30"/>
            </w:pPr>
            <w:r>
              <w:rPr>
                <w:rFonts w:ascii="Times New Roman" w:cs="Times New Roman" w:eastAsia="Times New Roman" w:hAnsi="Times New Roman"/>
                <w:sz w:val="22"/>
                <w:szCs w:val="22"/>
              </w:rPr>
              <w:t xml:space="preserve">All database I/O, accessed through helper functions only.</w:t>
            </w:r>
          </w:p>
        </w:tc>
      </w:tr>
      <w:tr>
        <w:tc>
          <w:tcPr>
            <w:tcW w:type="dxa" w:w="2300"/>
            <w:tcBorders>
              <w:top w:val="single" w:color="888888" w:sz="4"/>
              <w:left w:val="single" w:color="888888" w:sz="4"/>
              <w:bottom w:val="single" w:color="888888" w:sz="4"/>
              <w:right w:val="single" w:color="888888" w:sz="4"/>
            </w:tcBorders>
            <w:tcMar>
              <w:top w:type="dxa" w:w="70"/>
              <w:left w:type="dxa" w:w="110"/>
              <w:bottom w:type="dxa" w:w="70"/>
              <w:right w:type="dxa" w:w="110"/>
            </w:tcMar>
          </w:tcPr>
          <w:p>
            <w:pPr>
              <w:spacing w:after="30"/>
            </w:pPr>
            <w:r>
              <w:rPr>
                <w:rFonts w:ascii="Times New Roman" w:cs="Times New Roman" w:eastAsia="Times New Roman" w:hAnsi="Times New Roman"/>
                <w:sz w:val="22"/>
                <w:szCs w:val="22"/>
              </w:rPr>
              <w:t xml:space="preserve">bcrypt + jsonwebtoken</w:t>
            </w:r>
          </w:p>
        </w:tc>
        <w:tc>
          <w:tcPr>
            <w:tcW w:type="dxa" w:w="2400"/>
            <w:tcBorders>
              <w:top w:val="single" w:color="888888" w:sz="4"/>
              <w:left w:val="single" w:color="888888" w:sz="4"/>
              <w:bottom w:val="single" w:color="888888" w:sz="4"/>
              <w:right w:val="single" w:color="888888" w:sz="4"/>
            </w:tcBorders>
            <w:tcMar>
              <w:top w:type="dxa" w:w="70"/>
              <w:left w:type="dxa" w:w="110"/>
              <w:bottom w:type="dxa" w:w="70"/>
              <w:right w:type="dxa" w:w="110"/>
            </w:tcMar>
          </w:tcPr>
          <w:p>
            <w:pPr>
              <w:spacing w:after="30"/>
            </w:pPr>
            <w:r>
              <w:rPr>
                <w:rFonts w:ascii="Times New Roman" w:cs="Times New Roman" w:eastAsia="Times New Roman" w:hAnsi="Times New Roman"/>
                <w:sz w:val="22"/>
                <w:szCs w:val="22"/>
              </w:rPr>
              <w:t xml:space="preserve">backend.api.auth</w:t>
            </w:r>
          </w:p>
        </w:tc>
        <w:tc>
          <w:tcPr>
            <w:tcW w:type="dxa" w:w="4660"/>
            <w:tcBorders>
              <w:top w:val="single" w:color="888888" w:sz="4"/>
              <w:left w:val="single" w:color="888888" w:sz="4"/>
              <w:bottom w:val="single" w:color="888888" w:sz="4"/>
              <w:right w:val="single" w:color="888888" w:sz="4"/>
            </w:tcBorders>
            <w:tcMar>
              <w:top w:type="dxa" w:w="70"/>
              <w:left w:type="dxa" w:w="110"/>
              <w:bottom w:type="dxa" w:w="70"/>
              <w:right w:type="dxa" w:w="110"/>
            </w:tcMar>
          </w:tcPr>
          <w:p>
            <w:pPr>
              <w:spacing w:after="30"/>
            </w:pPr>
            <w:r>
              <w:rPr>
                <w:rFonts w:ascii="Times New Roman" w:cs="Times New Roman" w:eastAsia="Times New Roman" w:hAnsi="Times New Roman"/>
                <w:sz w:val="22"/>
                <w:szCs w:val="22"/>
              </w:rPr>
              <w:t xml:space="preserve">Password hashing and JWT issuance/verification.</w:t>
            </w:r>
          </w:p>
        </w:tc>
      </w:tr>
    </w:tbl>
    <w:p>
      <w:pPr>
        <w:pStyle w:val="Heading2"/>
        <w:spacing w:after="100" w:before="200"/>
      </w:pPr>
      <w:r>
        <w:rPr>
          <w:rFonts w:ascii="Times New Roman" w:cs="Times New Roman" w:eastAsia="Times New Roman" w:hAnsi="Times New Roman"/>
          <w:b/>
          <w:bCs/>
          <w:sz w:val="25"/>
          <w:szCs w:val="25"/>
        </w:rPr>
        <w:t xml:space="preserve">3.5  Implemented Application External Interfaces</w:t>
      </w:r>
    </w:p>
    <w:p>
      <w:pPr>
        <w:spacing w:after="120" w:line="280"/>
        <w:jc w:val="both"/>
      </w:pPr>
      <w:r>
        <w:rPr>
          <w:rFonts w:ascii="Times New Roman" w:cs="Times New Roman" w:eastAsia="Times New Roman" w:hAnsi="Times New Roman"/>
          <w:sz w:val="22"/>
          <w:szCs w:val="22"/>
        </w:rPr>
        <w:t xml:space="preserve">In v1.0 the only external consumer is the React frontend; there are no third-party API clients.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c>
          <w:tcPr>
            <w:tcW w:type="dxa" w:w="3200"/>
            <w:tcBorders>
              <w:top w:val="single" w:color="888888" w:sz="4"/>
              <w:left w:val="single" w:color="888888" w:sz="4"/>
              <w:bottom w:val="single" w:color="888888" w:sz="4"/>
              <w:right w:val="single" w:color="888888" w:sz="4"/>
            </w:tcBorders>
            <w:shd w:fill="E8E8E8" w:val="clear"/>
            <w:tcMar>
              <w:top w:type="dxa" w:w="70"/>
              <w:left w:type="dxa" w:w="110"/>
              <w:bottom w:type="dxa" w:w="70"/>
              <w:right w:type="dxa" w:w="110"/>
            </w:tcMar>
          </w:tcPr>
          <w:p>
            <w:pPr>
              <w:spacing w:after="30"/>
            </w:pPr>
            <w:r>
              <w:rPr>
                <w:rFonts w:ascii="Times New Roman" w:cs="Times New Roman" w:eastAsia="Times New Roman" w:hAnsi="Times New Roman"/>
                <w:b/>
                <w:bCs/>
                <w:sz w:val="22"/>
                <w:szCs w:val="22"/>
              </w:rPr>
              <w:t xml:space="preserve">Interface</w:t>
            </w:r>
          </w:p>
        </w:tc>
        <w:tc>
          <w:tcPr>
            <w:tcW w:type="dxa" w:w="2400"/>
            <w:tcBorders>
              <w:top w:val="single" w:color="888888" w:sz="4"/>
              <w:left w:val="single" w:color="888888" w:sz="4"/>
              <w:bottom w:val="single" w:color="888888" w:sz="4"/>
              <w:right w:val="single" w:color="888888" w:sz="4"/>
            </w:tcBorders>
            <w:shd w:fill="E8E8E8" w:val="clear"/>
            <w:tcMar>
              <w:top w:type="dxa" w:w="70"/>
              <w:left w:type="dxa" w:w="110"/>
              <w:bottom w:type="dxa" w:w="70"/>
              <w:right w:type="dxa" w:w="110"/>
            </w:tcMar>
          </w:tcPr>
          <w:p>
            <w:pPr>
              <w:spacing w:after="30"/>
            </w:pPr>
            <w:r>
              <w:rPr>
                <w:rFonts w:ascii="Times New Roman" w:cs="Times New Roman" w:eastAsia="Times New Roman" w:hAnsi="Times New Roman"/>
                <w:b/>
                <w:bCs/>
                <w:sz w:val="22"/>
                <w:szCs w:val="22"/>
              </w:rPr>
              <w:t xml:space="preserve">Module</w:t>
            </w:r>
          </w:p>
        </w:tc>
        <w:tc>
          <w:tcPr>
            <w:tcW w:type="dxa" w:w="3760"/>
            <w:tcBorders>
              <w:top w:val="single" w:color="888888" w:sz="4"/>
              <w:left w:val="single" w:color="888888" w:sz="4"/>
              <w:bottom w:val="single" w:color="888888" w:sz="4"/>
              <w:right w:val="single" w:color="888888" w:sz="4"/>
            </w:tcBorders>
            <w:shd w:fill="E8E8E8" w:val="clear"/>
            <w:tcMar>
              <w:top w:type="dxa" w:w="70"/>
              <w:left w:type="dxa" w:w="110"/>
              <w:bottom w:type="dxa" w:w="70"/>
              <w:right w:type="dxa" w:w="110"/>
            </w:tcMar>
          </w:tcPr>
          <w:p>
            <w:pPr>
              <w:spacing w:after="30"/>
            </w:pPr>
            <w:r>
              <w:rPr>
                <w:rFonts w:ascii="Times New Roman" w:cs="Times New Roman" w:eastAsia="Times New Roman" w:hAnsi="Times New Roman"/>
                <w:b/>
                <w:bCs/>
                <w:sz w:val="22"/>
                <w:szCs w:val="22"/>
              </w:rPr>
              <w:t xml:space="preserve">Description</w:t>
            </w:r>
          </w:p>
        </w:tc>
      </w:tr>
      <w:tr>
        <w:tc>
          <w:tcPr>
            <w:tcW w:type="dxa" w:w="3200"/>
            <w:tcBorders>
              <w:top w:val="single" w:color="888888" w:sz="4"/>
              <w:left w:val="single" w:color="888888" w:sz="4"/>
              <w:bottom w:val="single" w:color="888888" w:sz="4"/>
              <w:right w:val="single" w:color="888888" w:sz="4"/>
            </w:tcBorders>
            <w:tcMar>
              <w:top w:type="dxa" w:w="70"/>
              <w:left w:type="dxa" w:w="110"/>
              <w:bottom w:type="dxa" w:w="70"/>
              <w:right w:type="dxa" w:w="110"/>
            </w:tcMar>
          </w:tcPr>
          <w:p>
            <w:pPr>
              <w:spacing w:after="30"/>
            </w:pPr>
            <w:r>
              <w:rPr>
                <w:rFonts w:ascii="Times New Roman" w:cs="Times New Roman" w:eastAsia="Times New Roman" w:hAnsi="Times New Roman"/>
                <w:sz w:val="22"/>
                <w:szCs w:val="22"/>
              </w:rPr>
              <w:t xml:space="preserve">REST API /api/v1/*</w:t>
            </w:r>
          </w:p>
        </w:tc>
        <w:tc>
          <w:tcPr>
            <w:tcW w:type="dxa" w:w="2400"/>
            <w:tcBorders>
              <w:top w:val="single" w:color="888888" w:sz="4"/>
              <w:left w:val="single" w:color="888888" w:sz="4"/>
              <w:bottom w:val="single" w:color="888888" w:sz="4"/>
              <w:right w:val="single" w:color="888888" w:sz="4"/>
            </w:tcBorders>
            <w:tcMar>
              <w:top w:type="dxa" w:w="70"/>
              <w:left w:type="dxa" w:w="110"/>
              <w:bottom w:type="dxa" w:w="70"/>
              <w:right w:type="dxa" w:w="110"/>
            </w:tcMar>
          </w:tcPr>
          <w:p>
            <w:pPr>
              <w:spacing w:after="30"/>
            </w:pPr>
            <w:r>
              <w:rPr>
                <w:rFonts w:ascii="Times New Roman" w:cs="Times New Roman" w:eastAsia="Times New Roman" w:hAnsi="Times New Roman"/>
                <w:sz w:val="22"/>
                <w:szCs w:val="22"/>
              </w:rPr>
              <w:t xml:space="preserve">vakvic.backend.api</w:t>
            </w:r>
          </w:p>
        </w:tc>
        <w:tc>
          <w:tcPr>
            <w:tcW w:type="dxa" w:w="3760"/>
            <w:tcBorders>
              <w:top w:val="single" w:color="888888" w:sz="4"/>
              <w:left w:val="single" w:color="888888" w:sz="4"/>
              <w:bottom w:val="single" w:color="888888" w:sz="4"/>
              <w:right w:val="single" w:color="888888" w:sz="4"/>
            </w:tcBorders>
            <w:tcMar>
              <w:top w:type="dxa" w:w="70"/>
              <w:left w:type="dxa" w:w="110"/>
              <w:bottom w:type="dxa" w:w="70"/>
              <w:right w:type="dxa" w:w="110"/>
            </w:tcMar>
          </w:tcPr>
          <w:p>
            <w:pPr>
              <w:spacing w:after="30"/>
            </w:pPr>
            <w:r>
              <w:rPr>
                <w:rFonts w:ascii="Times New Roman" w:cs="Times New Roman" w:eastAsia="Times New Roman" w:hAnsi="Times New Roman"/>
                <w:sz w:val="22"/>
                <w:szCs w:val="22"/>
              </w:rPr>
              <w:t xml:space="preserve">JSON over HTTPS, JWT-protected for user-specific routes.</w:t>
            </w:r>
          </w:p>
        </w:tc>
      </w:tr>
      <w:tr>
        <w:tc>
          <w:tcPr>
            <w:tcW w:type="dxa" w:w="3200"/>
            <w:tcBorders>
              <w:top w:val="single" w:color="888888" w:sz="4"/>
              <w:left w:val="single" w:color="888888" w:sz="4"/>
              <w:bottom w:val="single" w:color="888888" w:sz="4"/>
              <w:right w:val="single" w:color="888888" w:sz="4"/>
            </w:tcBorders>
            <w:tcMar>
              <w:top w:type="dxa" w:w="70"/>
              <w:left w:type="dxa" w:w="110"/>
              <w:bottom w:type="dxa" w:w="70"/>
              <w:right w:type="dxa" w:w="110"/>
            </w:tcMar>
          </w:tcPr>
          <w:p>
            <w:pPr>
              <w:spacing w:after="30"/>
            </w:pPr>
            <w:r>
              <w:rPr>
                <w:rFonts w:ascii="Times New Roman" w:cs="Times New Roman" w:eastAsia="Times New Roman" w:hAnsi="Times New Roman"/>
                <w:sz w:val="22"/>
                <w:szCs w:val="22"/>
              </w:rPr>
              <w:t xml:space="preserve">Health check /health</w:t>
            </w:r>
          </w:p>
        </w:tc>
        <w:tc>
          <w:tcPr>
            <w:tcW w:type="dxa" w:w="2400"/>
            <w:tcBorders>
              <w:top w:val="single" w:color="888888" w:sz="4"/>
              <w:left w:val="single" w:color="888888" w:sz="4"/>
              <w:bottom w:val="single" w:color="888888" w:sz="4"/>
              <w:right w:val="single" w:color="888888" w:sz="4"/>
            </w:tcBorders>
            <w:tcMar>
              <w:top w:type="dxa" w:w="70"/>
              <w:left w:type="dxa" w:w="110"/>
              <w:bottom w:type="dxa" w:w="70"/>
              <w:right w:type="dxa" w:w="110"/>
            </w:tcMar>
          </w:tcPr>
          <w:p>
            <w:pPr>
              <w:spacing w:after="30"/>
            </w:pPr>
            <w:r>
              <w:rPr>
                <w:rFonts w:ascii="Times New Roman" w:cs="Times New Roman" w:eastAsia="Times New Roman" w:hAnsi="Times New Roman"/>
                <w:sz w:val="22"/>
                <w:szCs w:val="22"/>
              </w:rPr>
              <w:t xml:space="preserve">vakvic.backend.api</w:t>
            </w:r>
          </w:p>
        </w:tc>
        <w:tc>
          <w:tcPr>
            <w:tcW w:type="dxa" w:w="3760"/>
            <w:tcBorders>
              <w:top w:val="single" w:color="888888" w:sz="4"/>
              <w:left w:val="single" w:color="888888" w:sz="4"/>
              <w:bottom w:val="single" w:color="888888" w:sz="4"/>
              <w:right w:val="single" w:color="888888" w:sz="4"/>
            </w:tcBorders>
            <w:tcMar>
              <w:top w:type="dxa" w:w="70"/>
              <w:left w:type="dxa" w:w="110"/>
              <w:bottom w:type="dxa" w:w="70"/>
              <w:right w:type="dxa" w:w="110"/>
            </w:tcMar>
          </w:tcPr>
          <w:p>
            <w:pPr>
              <w:spacing w:after="30"/>
            </w:pPr>
            <w:r>
              <w:rPr>
                <w:rFonts w:ascii="Times New Roman" w:cs="Times New Roman" w:eastAsia="Times New Roman" w:hAnsi="Times New Roman"/>
                <w:sz w:val="22"/>
                <w:szCs w:val="22"/>
              </w:rPr>
              <w:t xml:space="preserve">Returns 200 with build version and DB connectivity.</w:t>
            </w:r>
          </w:p>
        </w:tc>
      </w:tr>
    </w:tbl>
    <w:p>
      <w:pPr>
        <w:pStyle w:val="Heading1"/>
        <w:spacing w:after="140" w:before="280"/>
      </w:pPr>
      <w:r>
        <w:rPr>
          <w:rFonts w:ascii="Times New Roman" w:cs="Times New Roman" w:eastAsia="Times New Roman" w:hAnsi="Times New Roman"/>
          <w:b/>
          <w:bCs/>
          <w:sz w:val="30"/>
          <w:szCs w:val="30"/>
        </w:rPr>
        <w:t xml:space="preserve">4  Logical View</w:t>
      </w:r>
    </w:p>
    <w:p>
      <w:pPr>
        <w:pStyle w:val="Heading2"/>
        <w:spacing w:after="100" w:before="200"/>
      </w:pPr>
      <w:r>
        <w:rPr>
          <w:rFonts w:ascii="Times New Roman" w:cs="Times New Roman" w:eastAsia="Times New Roman" w:hAnsi="Times New Roman"/>
          <w:b/>
          <w:bCs/>
          <w:sz w:val="25"/>
          <w:szCs w:val="25"/>
        </w:rPr>
        <w:t xml:space="preserve">4.1  Design Model</w:t>
      </w:r>
    </w:p>
    <w:p>
      <w:pPr>
        <w:spacing w:after="120" w:line="280"/>
        <w:jc w:val="both"/>
      </w:pPr>
      <w:r>
        <w:rPr>
          <w:rFonts w:ascii="Times New Roman" w:cs="Times New Roman" w:eastAsia="Times New Roman" w:hAnsi="Times New Roman"/>
          <w:sz w:val="22"/>
          <w:szCs w:val="22"/>
        </w:rPr>
        <w:t xml:space="preserve">Each package decomposes into a small set of modules. The frontend has the App router plus an AuthContext and one component per page (Dashboard, Compare, Portfolio, Watchlist), backed by reusable widgets (RadarChart, ScoreRing, TickerBar) defined inline in the prototype today.</w:t>
      </w:r>
    </w:p>
    <w:p>
      <w:pPr>
        <w:spacing w:after="120" w:line="280"/>
        <w:jc w:val="both"/>
      </w:pPr>
      <w:r>
        <w:rPr>
          <w:rFonts w:ascii="Times New Roman" w:cs="Times New Roman" w:eastAsia="Times New Roman" w:hAnsi="Times New Roman"/>
          <w:sz w:val="22"/>
          <w:szCs w:val="22"/>
        </w:rPr>
        <w:t xml:space="preserve">The backend.api package has one route file per resource (assets, predictions, compare, portfolio, watchlist, auth), an auth middleware that verifies JWTs, and a validate middleware that rejects bad input at the edge. The DAL exposes one helper function per database operation, named after what it does rather than what table it touches — getAllAssets, getLatestPrediction, savePortfolio, addToWatchlist, and so on. A parallel Python module (vakvic.ml.db_helpers) exposes the same operations to the ML service and ingestion job.</w:t>
      </w:r>
    </w:p>
    <w:p>
      <w:pPr>
        <w:spacing w:after="120" w:line="280"/>
        <w:jc w:val="both"/>
      </w:pPr>
      <w:r>
        <w:rPr>
          <w:rFonts w:ascii="Times New Roman" w:cs="Times New Roman" w:eastAsia="Times New Roman" w:hAnsi="Times New Roman"/>
          <w:sz w:val="22"/>
          <w:szCs w:val="22"/>
        </w:rPr>
        <w:t xml:space="preserve">The ML package has three working modules — predictor.py loads pre-trained Keras models and runs inference, scorer.py computes suitability metrics, optimizer.py runs Markowitz with cvxpy — plus a small Flask shim (service.py) that exposes them to the backend over localhost HTTP. The ingestion job is two files: fetch.py (yfinance wrapper) and pipeline.py (orchestration with retry/backoff), scheduled via cron after market close.</w:t>
      </w:r>
    </w:p>
    <w:p>
      <w:pPr>
        <w:spacing w:after="80" w:before="200"/>
        <w:jc w:val="center"/>
      </w:pPr>
      <w:r>
        <w:drawing>
          <wp:inline distT="0" distB="0" distL="0" distR="0">
            <wp:extent cx="5715000" cy="4057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4057650"/>
                    </a:xfrm>
                    <a:prstGeom prst="rect">
                      <a:avLst/>
                    </a:prstGeom>
                  </pic:spPr>
                </pic:pic>
              </a:graphicData>
            </a:graphic>
          </wp:inline>
        </w:drawing>
      </w:r>
    </w:p>
    <w:p>
      <w:pPr>
        <w:spacing w:after="200"/>
        <w:jc w:val="center"/>
      </w:pPr>
      <w:r>
        <w:rPr>
          <w:rFonts w:ascii="Times New Roman" w:cs="Times New Roman" w:eastAsia="Times New Roman" w:hAnsi="Times New Roman"/>
          <w:i/>
          <w:iCs/>
          <w:color w:val="555555"/>
          <w:sz w:val="20"/>
          <w:szCs w:val="20"/>
        </w:rPr>
        <w:t xml:space="preserve">Figure 3 — Class Diagram. Backend controllers call into the DAL and the MLService; the DAL is the only path to PostgreSQL.</w:t>
      </w:r>
    </w:p>
    <w:p>
      <w:pPr>
        <w:pStyle w:val="Heading2"/>
        <w:spacing w:after="100" w:before="200"/>
      </w:pPr>
      <w:r>
        <w:rPr>
          <w:rFonts w:ascii="Times New Roman" w:cs="Times New Roman" w:eastAsia="Times New Roman" w:hAnsi="Times New Roman"/>
          <w:b/>
          <w:bCs/>
          <w:sz w:val="25"/>
          <w:szCs w:val="25"/>
        </w:rPr>
        <w:t xml:space="preserve">4.2  Use Case Realization</w:t>
      </w:r>
    </w:p>
    <w:p>
      <w:pPr>
        <w:spacing w:after="120" w:line="280"/>
        <w:jc w:val="both"/>
      </w:pPr>
      <w:r>
        <w:rPr>
          <w:rFonts w:ascii="Times New Roman" w:cs="Times New Roman" w:eastAsia="Times New Roman" w:hAnsi="Times New Roman"/>
          <w:b/>
          <w:bCs/>
          <w:sz w:val="22"/>
          <w:szCs w:val="22"/>
        </w:rPr>
        <w:t xml:space="preserve">UC1 Compare Assets:</w:t>
      </w:r>
    </w:p>
    <w:p>
      <w:pPr>
        <w:spacing w:after="120" w:line="280"/>
        <w:jc w:val="both"/>
      </w:pPr>
      <w:r>
        <w:rPr>
          <w:rFonts w:ascii="Times New Roman" w:cs="Times New Roman" w:eastAsia="Times New Roman" w:hAnsi="Times New Roman"/>
          <w:sz w:val="22"/>
          <w:szCs w:val="22"/>
        </w:rPr>
        <w:t xml:space="preserve">ComparePage POSTs to /api/v1/compare with the asset IDs and the JWT. The auth middleware verifies the token, the controller calls dal.getMetrics() for the requested assets, drops any with missing data into a warnings list, asks scorer.normalize() to convert raw metrics to 0–100 scores, persists the session via dal.saveComparison(), and responds with the assets, scores, and warnings. The frontend then renders the radar chart and metric table.</w:t>
      </w:r>
    </w:p>
    <w:p>
      <w:pPr>
        <w:spacing w:after="120" w:line="280"/>
        <w:jc w:val="both"/>
      </w:pPr>
      <w:r>
        <w:rPr>
          <w:rFonts w:ascii="Times New Roman" w:cs="Times New Roman" w:eastAsia="Times New Roman" w:hAnsi="Times New Roman"/>
          <w:b/>
          <w:bCs/>
          <w:sz w:val="22"/>
          <w:szCs w:val="22"/>
        </w:rPr>
        <w:t xml:space="preserve">UC2 Generate Portfolio Recommendation:</w:t>
      </w:r>
    </w:p>
    <w:p>
      <w:pPr>
        <w:spacing w:after="120" w:line="280"/>
        <w:jc w:val="both"/>
      </w:pPr>
      <w:r>
        <w:rPr>
          <w:rFonts w:ascii="Times New Roman" w:cs="Times New Roman" w:eastAsia="Times New Roman" w:hAnsi="Times New Roman"/>
          <w:sz w:val="22"/>
          <w:szCs w:val="22"/>
        </w:rPr>
        <w:t xml:space="preserve">PortfolioOptimizer POSTs to /api/v1/portfolio/optimize after validating capital &gt; 0 client-side. The controller calls dal.getAllAssets() and dal.getPriceHistory(), passes everything to optimizer.run() on the ML service, which builds the covariance matrix, picks the objective based on risk tolerance (Low → minimum variance, Medium → maximum Sharpe, High → maximum return), solves with cvxpy, and returns weights plus expected return and volatility. The controller wraps the persistence in a transaction so portfolios and portfolio_assets stay consistent, then responds with the full payload.</w:t>
      </w:r>
    </w:p>
    <w:p>
      <w:pPr>
        <w:spacing w:after="120" w:line="280"/>
        <w:jc w:val="both"/>
      </w:pPr>
      <w:r>
        <w:rPr>
          <w:rFonts w:ascii="Times New Roman" w:cs="Times New Roman" w:eastAsia="Times New Roman" w:hAnsi="Times New Roman"/>
          <w:b/>
          <w:bCs/>
          <w:sz w:val="22"/>
          <w:szCs w:val="22"/>
        </w:rPr>
        <w:t xml:space="preserve">UC3 Manage Watchlist:</w:t>
      </w:r>
    </w:p>
    <w:p>
      <w:pPr>
        <w:spacing w:after="120" w:line="280"/>
        <w:jc w:val="both"/>
      </w:pPr>
      <w:r>
        <w:rPr>
          <w:rFonts w:ascii="Times New Roman" w:cs="Times New Roman" w:eastAsia="Times New Roman" w:hAnsi="Times New Roman"/>
          <w:sz w:val="22"/>
          <w:szCs w:val="22"/>
        </w:rPr>
        <w:t xml:space="preserve">POST /api/v1/watchlist with an asset_id. Auth middleware extracts user_id, the controller calls dal.addToWatchlist(), the DAL runs INSERT ... ON CONFLICT DO NOTHING and reports back whether anything was inserted. Duplicates return 200 with { added: false } so the UI can show a toast; new entries return 201 with the updated list.</w:t>
      </w:r>
    </w:p>
    <w:p>
      <w:pPr>
        <w:spacing w:after="80" w:before="200"/>
        <w:jc w:val="center"/>
      </w:pPr>
      <w:r>
        <w:drawing>
          <wp:inline distT="0" distB="0" distL="0" distR="0">
            <wp:extent cx="5715000" cy="428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4286250"/>
                    </a:xfrm>
                    <a:prstGeom prst="rect">
                      <a:avLst/>
                    </a:prstGeom>
                  </pic:spPr>
                </pic:pic>
              </a:graphicData>
            </a:graphic>
          </wp:inline>
        </w:drawing>
      </w:r>
    </w:p>
    <w:p>
      <w:pPr>
        <w:spacing w:after="200"/>
        <w:jc w:val="center"/>
      </w:pPr>
      <w:r>
        <w:rPr>
          <w:rFonts w:ascii="Times New Roman" w:cs="Times New Roman" w:eastAsia="Times New Roman" w:hAnsi="Times New Roman"/>
          <w:i/>
          <w:iCs/>
          <w:color w:val="555555"/>
          <w:sz w:val="20"/>
          <w:szCs w:val="20"/>
        </w:rPr>
        <w:t xml:space="preserve">Figure 4 — Sequence Diagram for UC1 Compare Assets.</w:t>
      </w:r>
    </w:p>
    <w:p>
      <w:r>
        <w:br w:type="page"/>
      </w:r>
    </w:p>
    <w:p>
      <w:pPr>
        <w:spacing w:after="80" w:before="200"/>
        <w:jc w:val="center"/>
      </w:pPr>
      <w:r>
        <w:drawing>
          <wp:inline distT="0" distB="0" distL="0" distR="0">
            <wp:extent cx="5715000" cy="4429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4429125"/>
                    </a:xfrm>
                    <a:prstGeom prst="rect">
                      <a:avLst/>
                    </a:prstGeom>
                  </pic:spPr>
                </pic:pic>
              </a:graphicData>
            </a:graphic>
          </wp:inline>
        </w:drawing>
      </w:r>
    </w:p>
    <w:p>
      <w:pPr>
        <w:spacing w:after="200"/>
        <w:jc w:val="center"/>
      </w:pPr>
      <w:r>
        <w:rPr>
          <w:rFonts w:ascii="Times New Roman" w:cs="Times New Roman" w:eastAsia="Times New Roman" w:hAnsi="Times New Roman"/>
          <w:i/>
          <w:iCs/>
          <w:color w:val="555555"/>
          <w:sz w:val="20"/>
          <w:szCs w:val="20"/>
        </w:rPr>
        <w:t xml:space="preserve">Figure 5 — Sequence Diagram for UC2 Generate Portfolio Recommendation.</w:t>
      </w:r>
    </w:p>
    <w:p>
      <w:pPr>
        <w:pStyle w:val="Heading1"/>
        <w:spacing w:after="140" w:before="280"/>
      </w:pPr>
      <w:r>
        <w:rPr>
          <w:rFonts w:ascii="Times New Roman" w:cs="Times New Roman" w:eastAsia="Times New Roman" w:hAnsi="Times New Roman"/>
          <w:b/>
          <w:bCs/>
          <w:sz w:val="30"/>
          <w:szCs w:val="30"/>
        </w:rPr>
        <w:t xml:space="preserve">5  Data View</w:t>
      </w:r>
    </w:p>
    <w:p>
      <w:pPr>
        <w:pStyle w:val="Heading2"/>
        <w:spacing w:after="100" w:before="200"/>
      </w:pPr>
      <w:r>
        <w:rPr>
          <w:rFonts w:ascii="Times New Roman" w:cs="Times New Roman" w:eastAsia="Times New Roman" w:hAnsi="Times New Roman"/>
          <w:b/>
          <w:bCs/>
          <w:sz w:val="25"/>
          <w:szCs w:val="25"/>
        </w:rPr>
        <w:t xml:space="preserve">5.1  Domain Model</w:t>
      </w:r>
    </w:p>
    <w:p>
      <w:pPr>
        <w:spacing w:after="120" w:line="280"/>
        <w:jc w:val="both"/>
      </w:pPr>
      <w:r>
        <w:rPr>
          <w:rFonts w:ascii="Times New Roman" w:cs="Times New Roman" w:eastAsia="Times New Roman" w:hAnsi="Times New Roman"/>
          <w:sz w:val="22"/>
          <w:szCs w:val="22"/>
        </w:rPr>
        <w:t xml:space="preserve">Six core entities. An Asset has many AssetPrices, many Predictions, and one current AssetMetrics row. A User has many WatchlistEntries, Portfolios, and AssetComparisons. A Portfolio has many PortfolioAssets, each linking back to an Asset with a percentage and an INR amount.</w:t>
      </w:r>
    </w:p>
    <w:p>
      <w:r>
        <w:br w:type="page"/>
      </w:r>
    </w:p>
    <w:p>
      <w:pPr>
        <w:spacing w:after="80" w:before="200"/>
        <w:jc w:val="center"/>
      </w:pPr>
      <w:r>
        <w:drawing>
          <wp:inline distT="0" distB="0" distL="0" distR="0">
            <wp:extent cx="5905500" cy="4181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4181475"/>
                    </a:xfrm>
                    <a:prstGeom prst="rect">
                      <a:avLst/>
                    </a:prstGeom>
                  </pic:spPr>
                </pic:pic>
              </a:graphicData>
            </a:graphic>
          </wp:inline>
        </w:drawing>
      </w:r>
    </w:p>
    <w:p>
      <w:pPr>
        <w:spacing w:after="200"/>
        <w:jc w:val="center"/>
      </w:pPr>
      <w:r>
        <w:rPr>
          <w:rFonts w:ascii="Times New Roman" w:cs="Times New Roman" w:eastAsia="Times New Roman" w:hAnsi="Times New Roman"/>
          <w:i/>
          <w:iCs/>
          <w:color w:val="555555"/>
          <w:sz w:val="20"/>
          <w:szCs w:val="20"/>
        </w:rPr>
        <w:t xml:space="preserve">Figure 6 — Entity-Relationship Diagram. All foreign keys use ON DELETE CASCADE; monetary values are stored in INR as DECIMAL(15,4).</w:t>
      </w:r>
    </w:p>
    <w:p>
      <w:pPr>
        <w:pStyle w:val="Heading2"/>
        <w:spacing w:after="100" w:before="200"/>
      </w:pPr>
      <w:r>
        <w:rPr>
          <w:rFonts w:ascii="Times New Roman" w:cs="Times New Roman" w:eastAsia="Times New Roman" w:hAnsi="Times New Roman"/>
          <w:b/>
          <w:bCs/>
          <w:sz w:val="25"/>
          <w:szCs w:val="25"/>
        </w:rPr>
        <w:t xml:space="preserve">5.2  Data Model</w:t>
      </w:r>
    </w:p>
    <w:p>
      <w:pPr>
        <w:spacing w:after="120" w:line="280"/>
        <w:jc w:val="both"/>
      </w:pPr>
      <w:r>
        <w:rPr>
          <w:rFonts w:ascii="Times New Roman" w:cs="Times New Roman" w:eastAsia="Times New Roman" w:hAnsi="Times New Roman"/>
          <w:sz w:val="22"/>
          <w:szCs w:val="22"/>
        </w:rPr>
        <w:t xml:space="preserve">Nine PostgreSQL 16 tables. Full DDL lives in /db/migrations/. Monetary values are DECIMAL(15,4), timestamps are TIMESTAMP WITH TIME ZONE in UTC, and primary keys are SERIAL throughout. Full column-by-column documentation is in SRS Appendix A; the table below summarizes each table's purpose and the integrity constraints worth knowing about for the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888888" w:sz="4"/>
              <w:left w:val="single" w:color="888888" w:sz="4"/>
              <w:bottom w:val="single" w:color="888888" w:sz="4"/>
              <w:right w:val="single" w:color="888888" w:sz="4"/>
            </w:tcBorders>
            <w:shd w:fill="E8E8E8" w:val="clear"/>
            <w:tcMar>
              <w:top w:type="dxa" w:w="70"/>
              <w:left w:type="dxa" w:w="110"/>
              <w:bottom w:type="dxa" w:w="70"/>
              <w:right w:type="dxa" w:w="110"/>
            </w:tcMar>
          </w:tcPr>
          <w:p>
            <w:pPr>
              <w:spacing w:after="30"/>
            </w:pPr>
            <w:r>
              <w:rPr>
                <w:rFonts w:ascii="Times New Roman" w:cs="Times New Roman" w:eastAsia="Times New Roman" w:hAnsi="Times New Roman"/>
                <w:b/>
                <w:bCs/>
                <w:sz w:val="22"/>
                <w:szCs w:val="22"/>
              </w:rPr>
              <w:t xml:space="preserve">Table</w:t>
            </w:r>
          </w:p>
        </w:tc>
        <w:tc>
          <w:tcPr>
            <w:tcW w:type="dxa" w:w="6960"/>
            <w:tcBorders>
              <w:top w:val="single" w:color="888888" w:sz="4"/>
              <w:left w:val="single" w:color="888888" w:sz="4"/>
              <w:bottom w:val="single" w:color="888888" w:sz="4"/>
              <w:right w:val="single" w:color="888888" w:sz="4"/>
            </w:tcBorders>
            <w:shd w:fill="E8E8E8" w:val="clear"/>
            <w:tcMar>
              <w:top w:type="dxa" w:w="70"/>
              <w:left w:type="dxa" w:w="110"/>
              <w:bottom w:type="dxa" w:w="70"/>
              <w:right w:type="dxa" w:w="110"/>
            </w:tcMar>
          </w:tcPr>
          <w:p>
            <w:pPr>
              <w:spacing w:after="30"/>
            </w:pPr>
            <w:r>
              <w:rPr>
                <w:rFonts w:ascii="Times New Roman" w:cs="Times New Roman" w:eastAsia="Times New Roman" w:hAnsi="Times New Roman"/>
                <w:b/>
                <w:bCs/>
                <w:sz w:val="22"/>
                <w:szCs w:val="22"/>
              </w:rPr>
              <w:t xml:space="preserve">Purpose and key constraints</w:t>
            </w:r>
          </w:p>
        </w:tc>
      </w:tr>
      <w:tr>
        <w:tc>
          <w:tcPr>
            <w:tcW w:type="dxa" w:w="2400"/>
            <w:tcBorders>
              <w:top w:val="single" w:color="888888" w:sz="4"/>
              <w:left w:val="single" w:color="888888" w:sz="4"/>
              <w:bottom w:val="single" w:color="888888" w:sz="4"/>
              <w:right w:val="single" w:color="888888" w:sz="4"/>
            </w:tcBorders>
            <w:tcMar>
              <w:top w:type="dxa" w:w="70"/>
              <w:left w:type="dxa" w:w="110"/>
              <w:bottom w:type="dxa" w:w="70"/>
              <w:right w:type="dxa" w:w="110"/>
            </w:tcMar>
          </w:tcPr>
          <w:p>
            <w:pPr>
              <w:spacing w:after="30"/>
            </w:pPr>
            <w:r>
              <w:rPr>
                <w:rFonts w:ascii="Times New Roman" w:cs="Times New Roman" w:eastAsia="Times New Roman" w:hAnsi="Times New Roman"/>
                <w:sz w:val="22"/>
                <w:szCs w:val="22"/>
              </w:rPr>
              <w:t xml:space="preserve">assets</w:t>
            </w:r>
          </w:p>
        </w:tc>
        <w:tc>
          <w:tcPr>
            <w:tcW w:type="dxa" w:w="6960"/>
            <w:tcBorders>
              <w:top w:val="single" w:color="888888" w:sz="4"/>
              <w:left w:val="single" w:color="888888" w:sz="4"/>
              <w:bottom w:val="single" w:color="888888" w:sz="4"/>
              <w:right w:val="single" w:color="888888" w:sz="4"/>
            </w:tcBorders>
            <w:tcMar>
              <w:top w:type="dxa" w:w="70"/>
              <w:left w:type="dxa" w:w="110"/>
              <w:bottom w:type="dxa" w:w="70"/>
              <w:right w:type="dxa" w:w="110"/>
            </w:tcMar>
          </w:tcPr>
          <w:p>
            <w:pPr>
              <w:spacing w:after="30"/>
            </w:pPr>
            <w:r>
              <w:rPr>
                <w:rFonts w:ascii="Times New Roman" w:cs="Times New Roman" w:eastAsia="Times New Roman" w:hAnsi="Times New Roman"/>
                <w:sz w:val="22"/>
                <w:szCs w:val="22"/>
              </w:rPr>
              <w:t xml:space="preserve">Master registry. UNIQUE(ticker_symbol). asset_class enumerated.</w:t>
            </w:r>
          </w:p>
        </w:tc>
      </w:tr>
      <w:tr>
        <w:tc>
          <w:tcPr>
            <w:tcW w:type="dxa" w:w="2400"/>
            <w:tcBorders>
              <w:top w:val="single" w:color="888888" w:sz="4"/>
              <w:left w:val="single" w:color="888888" w:sz="4"/>
              <w:bottom w:val="single" w:color="888888" w:sz="4"/>
              <w:right w:val="single" w:color="888888" w:sz="4"/>
            </w:tcBorders>
            <w:tcMar>
              <w:top w:type="dxa" w:w="70"/>
              <w:left w:type="dxa" w:w="110"/>
              <w:bottom w:type="dxa" w:w="70"/>
              <w:right w:type="dxa" w:w="110"/>
            </w:tcMar>
          </w:tcPr>
          <w:p>
            <w:pPr>
              <w:spacing w:after="30"/>
            </w:pPr>
            <w:r>
              <w:rPr>
                <w:rFonts w:ascii="Times New Roman" w:cs="Times New Roman" w:eastAsia="Times New Roman" w:hAnsi="Times New Roman"/>
                <w:sz w:val="22"/>
                <w:szCs w:val="22"/>
              </w:rPr>
              <w:t xml:space="preserve">asset_prices</w:t>
            </w:r>
          </w:p>
        </w:tc>
        <w:tc>
          <w:tcPr>
            <w:tcW w:type="dxa" w:w="6960"/>
            <w:tcBorders>
              <w:top w:val="single" w:color="888888" w:sz="4"/>
              <w:left w:val="single" w:color="888888" w:sz="4"/>
              <w:bottom w:val="single" w:color="888888" w:sz="4"/>
              <w:right w:val="single" w:color="888888" w:sz="4"/>
            </w:tcBorders>
            <w:tcMar>
              <w:top w:type="dxa" w:w="70"/>
              <w:left w:type="dxa" w:w="110"/>
              <w:bottom w:type="dxa" w:w="70"/>
              <w:right w:type="dxa" w:w="110"/>
            </w:tcMar>
          </w:tcPr>
          <w:p>
            <w:pPr>
              <w:spacing w:after="30"/>
            </w:pPr>
            <w:r>
              <w:rPr>
                <w:rFonts w:ascii="Times New Roman" w:cs="Times New Roman" w:eastAsia="Times New Roman" w:hAnsi="Times New Roman"/>
                <w:sz w:val="22"/>
                <w:szCs w:val="22"/>
              </w:rPr>
              <w:t xml:space="preserve">Daily OHLCV. UNIQUE(asset_id, date). Index on (asset_id, date DESC) for fast latest-N reads.</w:t>
            </w:r>
          </w:p>
        </w:tc>
      </w:tr>
      <w:tr>
        <w:tc>
          <w:tcPr>
            <w:tcW w:type="dxa" w:w="2400"/>
            <w:tcBorders>
              <w:top w:val="single" w:color="888888" w:sz="4"/>
              <w:left w:val="single" w:color="888888" w:sz="4"/>
              <w:bottom w:val="single" w:color="888888" w:sz="4"/>
              <w:right w:val="single" w:color="888888" w:sz="4"/>
            </w:tcBorders>
            <w:tcMar>
              <w:top w:type="dxa" w:w="70"/>
              <w:left w:type="dxa" w:w="110"/>
              <w:bottom w:type="dxa" w:w="70"/>
              <w:right w:type="dxa" w:w="110"/>
            </w:tcMar>
          </w:tcPr>
          <w:p>
            <w:pPr>
              <w:spacing w:after="30"/>
            </w:pPr>
            <w:r>
              <w:rPr>
                <w:rFonts w:ascii="Times New Roman" w:cs="Times New Roman" w:eastAsia="Times New Roman" w:hAnsi="Times New Roman"/>
                <w:sz w:val="22"/>
                <w:szCs w:val="22"/>
              </w:rPr>
              <w:t xml:space="preserve">predictions</w:t>
            </w:r>
          </w:p>
        </w:tc>
        <w:tc>
          <w:tcPr>
            <w:tcW w:type="dxa" w:w="6960"/>
            <w:tcBorders>
              <w:top w:val="single" w:color="888888" w:sz="4"/>
              <w:left w:val="single" w:color="888888" w:sz="4"/>
              <w:bottom w:val="single" w:color="888888" w:sz="4"/>
              <w:right w:val="single" w:color="888888" w:sz="4"/>
            </w:tcBorders>
            <w:tcMar>
              <w:top w:type="dxa" w:w="70"/>
              <w:left w:type="dxa" w:w="110"/>
              <w:bottom w:type="dxa" w:w="70"/>
              <w:right w:type="dxa" w:w="110"/>
            </w:tcMar>
          </w:tcPr>
          <w:p>
            <w:pPr>
              <w:spacing w:after="30"/>
            </w:pPr>
            <w:r>
              <w:rPr>
                <w:rFonts w:ascii="Times New Roman" w:cs="Times New Roman" w:eastAsia="Times New Roman" w:hAnsi="Times New Roman"/>
                <w:sz w:val="22"/>
                <w:szCs w:val="22"/>
              </w:rPr>
              <w:t xml:space="preserve">LSTM outputs with confidence interval, horizon, and model_version.</w:t>
            </w:r>
          </w:p>
        </w:tc>
      </w:tr>
      <w:tr>
        <w:tc>
          <w:tcPr>
            <w:tcW w:type="dxa" w:w="2400"/>
            <w:tcBorders>
              <w:top w:val="single" w:color="888888" w:sz="4"/>
              <w:left w:val="single" w:color="888888" w:sz="4"/>
              <w:bottom w:val="single" w:color="888888" w:sz="4"/>
              <w:right w:val="single" w:color="888888" w:sz="4"/>
            </w:tcBorders>
            <w:tcMar>
              <w:top w:type="dxa" w:w="70"/>
              <w:left w:type="dxa" w:w="110"/>
              <w:bottom w:type="dxa" w:w="70"/>
              <w:right w:type="dxa" w:w="110"/>
            </w:tcMar>
          </w:tcPr>
          <w:p>
            <w:pPr>
              <w:spacing w:after="30"/>
            </w:pPr>
            <w:r>
              <w:rPr>
                <w:rFonts w:ascii="Times New Roman" w:cs="Times New Roman" w:eastAsia="Times New Roman" w:hAnsi="Times New Roman"/>
                <w:sz w:val="22"/>
                <w:szCs w:val="22"/>
              </w:rPr>
              <w:t xml:space="preserve">asset_metrics</w:t>
            </w:r>
          </w:p>
        </w:tc>
        <w:tc>
          <w:tcPr>
            <w:tcW w:type="dxa" w:w="6960"/>
            <w:tcBorders>
              <w:top w:val="single" w:color="888888" w:sz="4"/>
              <w:left w:val="single" w:color="888888" w:sz="4"/>
              <w:bottom w:val="single" w:color="888888" w:sz="4"/>
              <w:right w:val="single" w:color="888888" w:sz="4"/>
            </w:tcBorders>
            <w:tcMar>
              <w:top w:type="dxa" w:w="70"/>
              <w:left w:type="dxa" w:w="110"/>
              <w:bottom w:type="dxa" w:w="70"/>
              <w:right w:type="dxa" w:w="110"/>
            </w:tcMar>
          </w:tcPr>
          <w:p>
            <w:pPr>
              <w:spacing w:after="30"/>
            </w:pPr>
            <w:r>
              <w:rPr>
                <w:rFonts w:ascii="Times New Roman" w:cs="Times New Roman" w:eastAsia="Times New Roman" w:hAnsi="Times New Roman"/>
                <w:sz w:val="22"/>
                <w:szCs w:val="22"/>
              </w:rPr>
              <w:t xml:space="preserve">Current metrics per asset. UNIQUE(asset_id) — one row per asset, latest values only.</w:t>
            </w:r>
          </w:p>
        </w:tc>
      </w:tr>
      <w:tr>
        <w:tc>
          <w:tcPr>
            <w:tcW w:type="dxa" w:w="2400"/>
            <w:tcBorders>
              <w:top w:val="single" w:color="888888" w:sz="4"/>
              <w:left w:val="single" w:color="888888" w:sz="4"/>
              <w:bottom w:val="single" w:color="888888" w:sz="4"/>
              <w:right w:val="single" w:color="888888" w:sz="4"/>
            </w:tcBorders>
            <w:tcMar>
              <w:top w:type="dxa" w:w="70"/>
              <w:left w:type="dxa" w:w="110"/>
              <w:bottom w:type="dxa" w:w="70"/>
              <w:right w:type="dxa" w:w="110"/>
            </w:tcMar>
          </w:tcPr>
          <w:p>
            <w:pPr>
              <w:spacing w:after="30"/>
            </w:pPr>
            <w:r>
              <w:rPr>
                <w:rFonts w:ascii="Times New Roman" w:cs="Times New Roman" w:eastAsia="Times New Roman" w:hAnsi="Times New Roman"/>
                <w:sz w:val="22"/>
                <w:szCs w:val="22"/>
              </w:rPr>
              <w:t xml:space="preserve">asset_comparisons</w:t>
            </w:r>
          </w:p>
        </w:tc>
        <w:tc>
          <w:tcPr>
            <w:tcW w:type="dxa" w:w="6960"/>
            <w:tcBorders>
              <w:top w:val="single" w:color="888888" w:sz="4"/>
              <w:left w:val="single" w:color="888888" w:sz="4"/>
              <w:bottom w:val="single" w:color="888888" w:sz="4"/>
              <w:right w:val="single" w:color="888888" w:sz="4"/>
            </w:tcBorders>
            <w:tcMar>
              <w:top w:type="dxa" w:w="70"/>
              <w:left w:type="dxa" w:w="110"/>
              <w:bottom w:type="dxa" w:w="70"/>
              <w:right w:type="dxa" w:w="110"/>
            </w:tcMar>
          </w:tcPr>
          <w:p>
            <w:pPr>
              <w:spacing w:after="30"/>
            </w:pPr>
            <w:r>
              <w:rPr>
                <w:rFonts w:ascii="Times New Roman" w:cs="Times New Roman" w:eastAsia="Times New Roman" w:hAnsi="Times New Roman"/>
                <w:sz w:val="22"/>
                <w:szCs w:val="22"/>
              </w:rPr>
              <w:t xml:space="preserve">Saved comparison sessions. user_id nullable for anonymous sessions.</w:t>
            </w:r>
          </w:p>
        </w:tc>
      </w:tr>
      <w:tr>
        <w:tc>
          <w:tcPr>
            <w:tcW w:type="dxa" w:w="2400"/>
            <w:tcBorders>
              <w:top w:val="single" w:color="888888" w:sz="4"/>
              <w:left w:val="single" w:color="888888" w:sz="4"/>
              <w:bottom w:val="single" w:color="888888" w:sz="4"/>
              <w:right w:val="single" w:color="888888" w:sz="4"/>
            </w:tcBorders>
            <w:tcMar>
              <w:top w:type="dxa" w:w="70"/>
              <w:left w:type="dxa" w:w="110"/>
              <w:bottom w:type="dxa" w:w="70"/>
              <w:right w:type="dxa" w:w="110"/>
            </w:tcMar>
          </w:tcPr>
          <w:p>
            <w:pPr>
              <w:spacing w:after="30"/>
            </w:pPr>
            <w:r>
              <w:rPr>
                <w:rFonts w:ascii="Times New Roman" w:cs="Times New Roman" w:eastAsia="Times New Roman" w:hAnsi="Times New Roman"/>
                <w:sz w:val="22"/>
                <w:szCs w:val="22"/>
              </w:rPr>
              <w:t xml:space="preserve">portfolios</w:t>
            </w:r>
          </w:p>
        </w:tc>
        <w:tc>
          <w:tcPr>
            <w:tcW w:type="dxa" w:w="6960"/>
            <w:tcBorders>
              <w:top w:val="single" w:color="888888" w:sz="4"/>
              <w:left w:val="single" w:color="888888" w:sz="4"/>
              <w:bottom w:val="single" w:color="888888" w:sz="4"/>
              <w:right w:val="single" w:color="888888" w:sz="4"/>
            </w:tcBorders>
            <w:tcMar>
              <w:top w:type="dxa" w:w="70"/>
              <w:left w:type="dxa" w:w="110"/>
              <w:bottom w:type="dxa" w:w="70"/>
              <w:right w:type="dxa" w:w="110"/>
            </w:tcMar>
          </w:tcPr>
          <w:p>
            <w:pPr>
              <w:spacing w:after="30"/>
            </w:pPr>
            <w:r>
              <w:rPr>
                <w:rFonts w:ascii="Times New Roman" w:cs="Times New Roman" w:eastAsia="Times New Roman" w:hAnsi="Times New Roman"/>
                <w:sz w:val="22"/>
                <w:szCs w:val="22"/>
              </w:rPr>
              <w:t xml:space="preserve">Optimizer runs. Stores capital, risk, horizon, and computed return/volatility.</w:t>
            </w:r>
          </w:p>
        </w:tc>
      </w:tr>
      <w:tr>
        <w:tc>
          <w:tcPr>
            <w:tcW w:type="dxa" w:w="2400"/>
            <w:tcBorders>
              <w:top w:val="single" w:color="888888" w:sz="4"/>
              <w:left w:val="single" w:color="888888" w:sz="4"/>
              <w:bottom w:val="single" w:color="888888" w:sz="4"/>
              <w:right w:val="single" w:color="888888" w:sz="4"/>
            </w:tcBorders>
            <w:tcMar>
              <w:top w:type="dxa" w:w="70"/>
              <w:left w:type="dxa" w:w="110"/>
              <w:bottom w:type="dxa" w:w="70"/>
              <w:right w:type="dxa" w:w="110"/>
            </w:tcMar>
          </w:tcPr>
          <w:p>
            <w:pPr>
              <w:spacing w:after="30"/>
            </w:pPr>
            <w:r>
              <w:rPr>
                <w:rFonts w:ascii="Times New Roman" w:cs="Times New Roman" w:eastAsia="Times New Roman" w:hAnsi="Times New Roman"/>
                <w:sz w:val="22"/>
                <w:szCs w:val="22"/>
              </w:rPr>
              <w:t xml:space="preserve">portfolio_assets</w:t>
            </w:r>
          </w:p>
        </w:tc>
        <w:tc>
          <w:tcPr>
            <w:tcW w:type="dxa" w:w="6960"/>
            <w:tcBorders>
              <w:top w:val="single" w:color="888888" w:sz="4"/>
              <w:left w:val="single" w:color="888888" w:sz="4"/>
              <w:bottom w:val="single" w:color="888888" w:sz="4"/>
              <w:right w:val="single" w:color="888888" w:sz="4"/>
            </w:tcBorders>
            <w:tcMar>
              <w:top w:type="dxa" w:w="70"/>
              <w:left w:type="dxa" w:w="110"/>
              <w:bottom w:type="dxa" w:w="70"/>
              <w:right w:type="dxa" w:w="110"/>
            </w:tcMar>
          </w:tcPr>
          <w:p>
            <w:pPr>
              <w:spacing w:after="30"/>
            </w:pPr>
            <w:r>
              <w:rPr>
                <w:rFonts w:ascii="Times New Roman" w:cs="Times New Roman" w:eastAsia="Times New Roman" w:hAnsi="Times New Roman"/>
                <w:sz w:val="22"/>
                <w:szCs w:val="22"/>
              </w:rPr>
              <w:t xml:space="preserve">Per-asset allocations. ON DELETE CASCADE from portfolios.</w:t>
            </w:r>
          </w:p>
        </w:tc>
      </w:tr>
      <w:tr>
        <w:tc>
          <w:tcPr>
            <w:tcW w:type="dxa" w:w="2400"/>
            <w:tcBorders>
              <w:top w:val="single" w:color="888888" w:sz="4"/>
              <w:left w:val="single" w:color="888888" w:sz="4"/>
              <w:bottom w:val="single" w:color="888888" w:sz="4"/>
              <w:right w:val="single" w:color="888888" w:sz="4"/>
            </w:tcBorders>
            <w:tcMar>
              <w:top w:type="dxa" w:w="70"/>
              <w:left w:type="dxa" w:w="110"/>
              <w:bottom w:type="dxa" w:w="70"/>
              <w:right w:type="dxa" w:w="110"/>
            </w:tcMar>
          </w:tcPr>
          <w:p>
            <w:pPr>
              <w:spacing w:after="30"/>
            </w:pPr>
            <w:r>
              <w:rPr>
                <w:rFonts w:ascii="Times New Roman" w:cs="Times New Roman" w:eastAsia="Times New Roman" w:hAnsi="Times New Roman"/>
                <w:sz w:val="22"/>
                <w:szCs w:val="22"/>
              </w:rPr>
              <w:t xml:space="preserve">users</w:t>
            </w:r>
          </w:p>
        </w:tc>
        <w:tc>
          <w:tcPr>
            <w:tcW w:type="dxa" w:w="6960"/>
            <w:tcBorders>
              <w:top w:val="single" w:color="888888" w:sz="4"/>
              <w:left w:val="single" w:color="888888" w:sz="4"/>
              <w:bottom w:val="single" w:color="888888" w:sz="4"/>
              <w:right w:val="single" w:color="888888" w:sz="4"/>
            </w:tcBorders>
            <w:tcMar>
              <w:top w:type="dxa" w:w="70"/>
              <w:left w:type="dxa" w:w="110"/>
              <w:bottom w:type="dxa" w:w="70"/>
              <w:right w:type="dxa" w:w="110"/>
            </w:tcMar>
          </w:tcPr>
          <w:p>
            <w:pPr>
              <w:spacing w:after="30"/>
            </w:pPr>
            <w:r>
              <w:rPr>
                <w:rFonts w:ascii="Times New Roman" w:cs="Times New Roman" w:eastAsia="Times New Roman" w:hAnsi="Times New Roman"/>
                <w:sz w:val="22"/>
                <w:szCs w:val="22"/>
              </w:rPr>
              <w:t xml:space="preserve">Email + bcrypt password_hash + lockout fields.</w:t>
            </w:r>
          </w:p>
        </w:tc>
      </w:tr>
      <w:tr>
        <w:tc>
          <w:tcPr>
            <w:tcW w:type="dxa" w:w="2400"/>
            <w:tcBorders>
              <w:top w:val="single" w:color="888888" w:sz="4"/>
              <w:left w:val="single" w:color="888888" w:sz="4"/>
              <w:bottom w:val="single" w:color="888888" w:sz="4"/>
              <w:right w:val="single" w:color="888888" w:sz="4"/>
            </w:tcBorders>
            <w:tcMar>
              <w:top w:type="dxa" w:w="70"/>
              <w:left w:type="dxa" w:w="110"/>
              <w:bottom w:type="dxa" w:w="70"/>
              <w:right w:type="dxa" w:w="110"/>
            </w:tcMar>
          </w:tcPr>
          <w:p>
            <w:pPr>
              <w:spacing w:after="30"/>
            </w:pPr>
            <w:r>
              <w:rPr>
                <w:rFonts w:ascii="Times New Roman" w:cs="Times New Roman" w:eastAsia="Times New Roman" w:hAnsi="Times New Roman"/>
                <w:sz w:val="22"/>
                <w:szCs w:val="22"/>
              </w:rPr>
              <w:t xml:space="preserve">watchlist</w:t>
            </w:r>
          </w:p>
        </w:tc>
        <w:tc>
          <w:tcPr>
            <w:tcW w:type="dxa" w:w="6960"/>
            <w:tcBorders>
              <w:top w:val="single" w:color="888888" w:sz="4"/>
              <w:left w:val="single" w:color="888888" w:sz="4"/>
              <w:bottom w:val="single" w:color="888888" w:sz="4"/>
              <w:right w:val="single" w:color="888888" w:sz="4"/>
            </w:tcBorders>
            <w:tcMar>
              <w:top w:type="dxa" w:w="70"/>
              <w:left w:type="dxa" w:w="110"/>
              <w:bottom w:type="dxa" w:w="70"/>
              <w:right w:type="dxa" w:w="110"/>
            </w:tcMar>
          </w:tcPr>
          <w:p>
            <w:pPr>
              <w:spacing w:after="30"/>
            </w:pPr>
            <w:r>
              <w:rPr>
                <w:rFonts w:ascii="Times New Roman" w:cs="Times New Roman" w:eastAsia="Times New Roman" w:hAnsi="Times New Roman"/>
                <w:sz w:val="22"/>
                <w:szCs w:val="22"/>
              </w:rPr>
              <w:t xml:space="preserve">UNIQUE(user_id, asset_id) — relied on by addToWatchlist.</w:t>
            </w:r>
          </w:p>
        </w:tc>
      </w:tr>
    </w:tbl>
    <w:p>
      <w:pPr>
        <w:pStyle w:val="Heading1"/>
        <w:spacing w:after="140" w:before="280"/>
      </w:pPr>
      <w:r>
        <w:rPr>
          <w:rFonts w:ascii="Times New Roman" w:cs="Times New Roman" w:eastAsia="Times New Roman" w:hAnsi="Times New Roman"/>
          <w:b/>
          <w:bCs/>
          <w:sz w:val="30"/>
          <w:szCs w:val="30"/>
        </w:rPr>
        <w:t xml:space="preserve">6  Exception Handling</w:t>
      </w:r>
    </w:p>
    <w:p>
      <w:pPr>
        <w:spacing w:after="120" w:line="280"/>
        <w:jc w:val="both"/>
      </w:pPr>
      <w:r>
        <w:rPr>
          <w:rFonts w:ascii="Times New Roman" w:cs="Times New Roman" w:eastAsia="Times New Roman" w:hAnsi="Times New Roman"/>
          <w:sz w:val="22"/>
          <w:szCs w:val="22"/>
        </w:rPr>
        <w:t xml:space="preserve">Errors fall into four buckets, each with its own handling pattern.</w:t>
      </w:r>
    </w:p>
    <w:p>
      <w:pPr>
        <w:pStyle w:val="ListParagraph"/>
        <w:numPr>
          <w:ilvl w:val="0"/>
          <w:numId w:val="2"/>
        </w:numPr>
        <w:spacing w:after="60" w:line="280"/>
      </w:pPr>
      <w:r>
        <w:rPr>
          <w:rFonts w:ascii="Times New Roman" w:cs="Times New Roman" w:eastAsia="Times New Roman" w:hAnsi="Times New Roman"/>
          <w:b/>
          <w:bCs/>
          <w:sz w:val="22"/>
          <w:szCs w:val="22"/>
        </w:rPr>
        <w:t xml:space="preserve">Validation errors (400) — </w:t>
      </w:r>
      <w:r>
        <w:rPr>
          <w:rFonts w:ascii="Times New Roman" w:cs="Times New Roman" w:eastAsia="Times New Roman" w:hAnsi="Times New Roman"/>
          <w:sz w:val="22"/>
          <w:szCs w:val="22"/>
        </w:rPr>
        <w:t xml:space="preserve">Caught by validate middleware before the controller. Returned as { error, field, message }. Logged at info level.</w:t>
      </w:r>
    </w:p>
    <w:p>
      <w:pPr>
        <w:pStyle w:val="ListParagraph"/>
        <w:numPr>
          <w:ilvl w:val="0"/>
          <w:numId w:val="2"/>
        </w:numPr>
        <w:spacing w:after="60" w:line="280"/>
      </w:pPr>
      <w:r>
        <w:rPr>
          <w:rFonts w:ascii="Times New Roman" w:cs="Times New Roman" w:eastAsia="Times New Roman" w:hAnsi="Times New Roman"/>
          <w:b/>
          <w:bCs/>
          <w:sz w:val="22"/>
          <w:szCs w:val="22"/>
        </w:rPr>
        <w:t xml:space="preserve">Auth errors (401/403) — </w:t>
      </w:r>
      <w:r>
        <w:rPr>
          <w:rFonts w:ascii="Times New Roman" w:cs="Times New Roman" w:eastAsia="Times New Roman" w:hAnsi="Times New Roman"/>
          <w:sz w:val="22"/>
          <w:szCs w:val="22"/>
        </w:rPr>
        <w:t xml:space="preserve">Missing or expired JWT → 401. Accessing another user's resource → 403. Logged at warn level with user_id and route.</w:t>
      </w:r>
    </w:p>
    <w:p>
      <w:pPr>
        <w:pStyle w:val="ListParagraph"/>
        <w:numPr>
          <w:ilvl w:val="0"/>
          <w:numId w:val="2"/>
        </w:numPr>
        <w:spacing w:after="60" w:line="280"/>
      </w:pPr>
      <w:r>
        <w:rPr>
          <w:rFonts w:ascii="Times New Roman" w:cs="Times New Roman" w:eastAsia="Times New Roman" w:hAnsi="Times New Roman"/>
          <w:b/>
          <w:bCs/>
          <w:sz w:val="22"/>
          <w:szCs w:val="22"/>
        </w:rPr>
        <w:t xml:space="preserve">Database errors (500) — </w:t>
      </w:r>
      <w:r>
        <w:rPr>
          <w:rFonts w:ascii="Times New Roman" w:cs="Times New Roman" w:eastAsia="Times New Roman" w:hAnsi="Times New Roman"/>
          <w:sz w:val="22"/>
          <w:szCs w:val="22"/>
        </w:rPr>
        <w:t xml:space="preserve">DAL helpers wrap queries in try/catch and rethrow as DalError. Controllers translate to 500 with { error: 'internal' } — never raw SQL. UNIQUE violations on watchlist are special-cased to the duplicate path.</w:t>
      </w:r>
    </w:p>
    <w:p>
      <w:pPr>
        <w:pStyle w:val="ListParagraph"/>
        <w:numPr>
          <w:ilvl w:val="0"/>
          <w:numId w:val="2"/>
        </w:numPr>
        <w:spacing w:after="60" w:line="280"/>
      </w:pPr>
      <w:r>
        <w:rPr>
          <w:rFonts w:ascii="Times New Roman" w:cs="Times New Roman" w:eastAsia="Times New Roman" w:hAnsi="Times New Roman"/>
          <w:b/>
          <w:bCs/>
          <w:sz w:val="22"/>
          <w:szCs w:val="22"/>
        </w:rPr>
        <w:t xml:space="preserve">ML service errors (503/500) — </w:t>
      </w:r>
      <w:r>
        <w:rPr>
          <w:rFonts w:ascii="Times New Roman" w:cs="Times New Roman" w:eastAsia="Times New Roman" w:hAnsi="Times New Roman"/>
          <w:sz w:val="22"/>
          <w:szCs w:val="22"/>
        </w:rPr>
        <w:t xml:space="preserve">Service unreachable → 503 and a friendly retry message. Bad input or missing weights → 500 and the Python traceback is logged.</w:t>
      </w:r>
    </w:p>
    <w:p>
      <w:pPr>
        <w:spacing w:after="120" w:line="280"/>
        <w:jc w:val="both"/>
      </w:pPr>
      <w:r>
        <w:rPr>
          <w:rFonts w:ascii="Times New Roman" w:cs="Times New Roman" w:eastAsia="Times New Roman" w:hAnsi="Times New Roman"/>
          <w:sz w:val="22"/>
          <w:szCs w:val="22"/>
        </w:rPr>
        <w:t xml:space="preserve">The yfinance ingestion job runs offline and never surfaces errors to users. Each per-asset fetch retries up to 3 times with 30s / 2min / 5min backoff; after the third failure the asset is logged with { asset_id, ticker, error_type, timestamp } and the pipeline moves on.</w:t>
      </w:r>
    </w:p>
    <w:p>
      <w:pPr>
        <w:pStyle w:val="Heading1"/>
        <w:spacing w:after="140" w:before="280"/>
      </w:pPr>
      <w:r>
        <w:rPr>
          <w:rFonts w:ascii="Times New Roman" w:cs="Times New Roman" w:eastAsia="Times New Roman" w:hAnsi="Times New Roman"/>
          <w:b/>
          <w:bCs/>
          <w:sz w:val="30"/>
          <w:szCs w:val="30"/>
        </w:rPr>
        <w:t xml:space="preserve">7  Configurable Parameters</w:t>
      </w:r>
    </w:p>
    <w:p>
      <w:pPr>
        <w:spacing w:after="120" w:line="280"/>
        <w:jc w:val="both"/>
      </w:pPr>
      <w:r>
        <w:rPr>
          <w:rFonts w:ascii="Times New Roman" w:cs="Times New Roman" w:eastAsia="Times New Roman" w:hAnsi="Times New Roman"/>
          <w:sz w:val="22"/>
          <w:szCs w:val="22"/>
        </w:rPr>
        <w:t xml:space="preserve">All configuration is read from environment variables at startup. None are dynamic — changes require a restart.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5000"/>
        <w:gridCol w:w="1360"/>
      </w:tblGrid>
      <w:tr>
        <w:tc>
          <w:tcPr>
            <w:tcW w:type="dxa" w:w="3000"/>
            <w:tcBorders>
              <w:top w:val="single" w:color="888888" w:sz="4"/>
              <w:left w:val="single" w:color="888888" w:sz="4"/>
              <w:bottom w:val="single" w:color="888888" w:sz="4"/>
              <w:right w:val="single" w:color="888888" w:sz="4"/>
            </w:tcBorders>
            <w:shd w:fill="E8E8E8" w:val="clear"/>
            <w:tcMar>
              <w:top w:type="dxa" w:w="70"/>
              <w:left w:type="dxa" w:w="110"/>
              <w:bottom w:type="dxa" w:w="70"/>
              <w:right w:type="dxa" w:w="110"/>
            </w:tcMar>
          </w:tcPr>
          <w:p>
            <w:pPr>
              <w:spacing w:after="30"/>
            </w:pPr>
            <w:r>
              <w:rPr>
                <w:rFonts w:ascii="Times New Roman" w:cs="Times New Roman" w:eastAsia="Times New Roman" w:hAnsi="Times New Roman"/>
                <w:b/>
                <w:bCs/>
                <w:sz w:val="22"/>
                <w:szCs w:val="22"/>
              </w:rPr>
              <w:t xml:space="preserve">Parameter</w:t>
            </w:r>
          </w:p>
        </w:tc>
        <w:tc>
          <w:tcPr>
            <w:tcW w:type="dxa" w:w="5000"/>
            <w:tcBorders>
              <w:top w:val="single" w:color="888888" w:sz="4"/>
              <w:left w:val="single" w:color="888888" w:sz="4"/>
              <w:bottom w:val="single" w:color="888888" w:sz="4"/>
              <w:right w:val="single" w:color="888888" w:sz="4"/>
            </w:tcBorders>
            <w:shd w:fill="E8E8E8" w:val="clear"/>
            <w:tcMar>
              <w:top w:type="dxa" w:w="70"/>
              <w:left w:type="dxa" w:w="110"/>
              <w:bottom w:type="dxa" w:w="70"/>
              <w:right w:type="dxa" w:w="110"/>
            </w:tcMar>
          </w:tcPr>
          <w:p>
            <w:pPr>
              <w:spacing w:after="30"/>
            </w:pPr>
            <w:r>
              <w:rPr>
                <w:rFonts w:ascii="Times New Roman" w:cs="Times New Roman" w:eastAsia="Times New Roman" w:hAnsi="Times New Roman"/>
                <w:b/>
                <w:bCs/>
                <w:sz w:val="22"/>
                <w:szCs w:val="22"/>
              </w:rPr>
              <w:t xml:space="preserve">Definition and Usage</w:t>
            </w:r>
          </w:p>
        </w:tc>
        <w:tc>
          <w:tcPr>
            <w:tcW w:type="dxa" w:w="1360"/>
            <w:tcBorders>
              <w:top w:val="single" w:color="888888" w:sz="4"/>
              <w:left w:val="single" w:color="888888" w:sz="4"/>
              <w:bottom w:val="single" w:color="888888" w:sz="4"/>
              <w:right w:val="single" w:color="888888" w:sz="4"/>
            </w:tcBorders>
            <w:shd w:fill="E8E8E8" w:val="clear"/>
            <w:tcMar>
              <w:top w:type="dxa" w:w="70"/>
              <w:left w:type="dxa" w:w="110"/>
              <w:bottom w:type="dxa" w:w="70"/>
              <w:right w:type="dxa" w:w="110"/>
            </w:tcMar>
          </w:tcPr>
          <w:p>
            <w:pPr>
              <w:spacing w:after="30"/>
            </w:pPr>
            <w:r>
              <w:rPr>
                <w:rFonts w:ascii="Times New Roman" w:cs="Times New Roman" w:eastAsia="Times New Roman" w:hAnsi="Times New Roman"/>
                <w:b/>
                <w:bCs/>
                <w:sz w:val="22"/>
                <w:szCs w:val="22"/>
              </w:rPr>
              <w:t xml:space="preserve">Dynamic?</w:t>
            </w:r>
          </w:p>
        </w:tc>
      </w:tr>
      <w:tr>
        <w:tc>
          <w:tcPr>
            <w:tcW w:type="dxa" w:w="3000"/>
            <w:tcBorders>
              <w:top w:val="single" w:color="888888" w:sz="4"/>
              <w:left w:val="single" w:color="888888" w:sz="4"/>
              <w:bottom w:val="single" w:color="888888" w:sz="4"/>
              <w:right w:val="single" w:color="888888" w:sz="4"/>
            </w:tcBorders>
            <w:tcMar>
              <w:top w:type="dxa" w:w="70"/>
              <w:left w:type="dxa" w:w="110"/>
              <w:bottom w:type="dxa" w:w="70"/>
              <w:right w:type="dxa" w:w="110"/>
            </w:tcMar>
          </w:tcPr>
          <w:p>
            <w:pPr>
              <w:spacing w:after="30"/>
            </w:pPr>
            <w:r>
              <w:rPr>
                <w:rFonts w:ascii="Times New Roman" w:cs="Times New Roman" w:eastAsia="Times New Roman" w:hAnsi="Times New Roman"/>
                <w:sz w:val="22"/>
                <w:szCs w:val="22"/>
              </w:rPr>
              <w:t xml:space="preserve">DB_HOST / DB_PORT / DB_NAME / DB_USER / DB_PASSWORD</w:t>
            </w:r>
          </w:p>
        </w:tc>
        <w:tc>
          <w:tcPr>
            <w:tcW w:type="dxa" w:w="5000"/>
            <w:tcBorders>
              <w:top w:val="single" w:color="888888" w:sz="4"/>
              <w:left w:val="single" w:color="888888" w:sz="4"/>
              <w:bottom w:val="single" w:color="888888" w:sz="4"/>
              <w:right w:val="single" w:color="888888" w:sz="4"/>
            </w:tcBorders>
            <w:tcMar>
              <w:top w:type="dxa" w:w="70"/>
              <w:left w:type="dxa" w:w="110"/>
              <w:bottom w:type="dxa" w:w="70"/>
              <w:right w:type="dxa" w:w="110"/>
            </w:tcMar>
          </w:tcPr>
          <w:p>
            <w:pPr>
              <w:spacing w:after="30"/>
            </w:pPr>
            <w:r>
              <w:rPr>
                <w:rFonts w:ascii="Times New Roman" w:cs="Times New Roman" w:eastAsia="Times New Roman" w:hAnsi="Times New Roman"/>
                <w:sz w:val="22"/>
                <w:szCs w:val="22"/>
              </w:rPr>
              <w:t xml:space="preserve">PostgreSQL connection settings.</w:t>
            </w:r>
          </w:p>
        </w:tc>
        <w:tc>
          <w:tcPr>
            <w:tcW w:type="dxa" w:w="1360"/>
            <w:tcBorders>
              <w:top w:val="single" w:color="888888" w:sz="4"/>
              <w:left w:val="single" w:color="888888" w:sz="4"/>
              <w:bottom w:val="single" w:color="888888" w:sz="4"/>
              <w:right w:val="single" w:color="888888" w:sz="4"/>
            </w:tcBorders>
            <w:tcMar>
              <w:top w:type="dxa" w:w="70"/>
              <w:left w:type="dxa" w:w="110"/>
              <w:bottom w:type="dxa" w:w="70"/>
              <w:right w:type="dxa" w:w="110"/>
            </w:tcMar>
          </w:tcPr>
          <w:p>
            <w:pPr>
              <w:spacing w:after="30"/>
            </w:pPr>
            <w:r>
              <w:rPr>
                <w:rFonts w:ascii="Times New Roman" w:cs="Times New Roman" w:eastAsia="Times New Roman" w:hAnsi="Times New Roman"/>
                <w:sz w:val="22"/>
                <w:szCs w:val="22"/>
              </w:rPr>
              <w:t xml:space="preserve">No</w:t>
            </w:r>
          </w:p>
        </w:tc>
      </w:tr>
      <w:tr>
        <w:tc>
          <w:tcPr>
            <w:tcW w:type="dxa" w:w="3000"/>
            <w:tcBorders>
              <w:top w:val="single" w:color="888888" w:sz="4"/>
              <w:left w:val="single" w:color="888888" w:sz="4"/>
              <w:bottom w:val="single" w:color="888888" w:sz="4"/>
              <w:right w:val="single" w:color="888888" w:sz="4"/>
            </w:tcBorders>
            <w:tcMar>
              <w:top w:type="dxa" w:w="70"/>
              <w:left w:type="dxa" w:w="110"/>
              <w:bottom w:type="dxa" w:w="70"/>
              <w:right w:type="dxa" w:w="110"/>
            </w:tcMar>
          </w:tcPr>
          <w:p>
            <w:pPr>
              <w:spacing w:after="30"/>
            </w:pPr>
            <w:r>
              <w:rPr>
                <w:rFonts w:ascii="Times New Roman" w:cs="Times New Roman" w:eastAsia="Times New Roman" w:hAnsi="Times New Roman"/>
                <w:sz w:val="22"/>
                <w:szCs w:val="22"/>
              </w:rPr>
              <w:t xml:space="preserve">JWT_SECRET, JWT_EXPIRY</w:t>
            </w:r>
          </w:p>
        </w:tc>
        <w:tc>
          <w:tcPr>
            <w:tcW w:type="dxa" w:w="5000"/>
            <w:tcBorders>
              <w:top w:val="single" w:color="888888" w:sz="4"/>
              <w:left w:val="single" w:color="888888" w:sz="4"/>
              <w:bottom w:val="single" w:color="888888" w:sz="4"/>
              <w:right w:val="single" w:color="888888" w:sz="4"/>
            </w:tcBorders>
            <w:tcMar>
              <w:top w:type="dxa" w:w="70"/>
              <w:left w:type="dxa" w:w="110"/>
              <w:bottom w:type="dxa" w:w="70"/>
              <w:right w:type="dxa" w:w="110"/>
            </w:tcMar>
          </w:tcPr>
          <w:p>
            <w:pPr>
              <w:spacing w:after="30"/>
            </w:pPr>
            <w:r>
              <w:rPr>
                <w:rFonts w:ascii="Times New Roman" w:cs="Times New Roman" w:eastAsia="Times New Roman" w:hAnsi="Times New Roman"/>
                <w:sz w:val="22"/>
                <w:szCs w:val="22"/>
              </w:rPr>
              <w:t xml:space="preserve">Token signing key and lifetime (default 24h).</w:t>
            </w:r>
          </w:p>
        </w:tc>
        <w:tc>
          <w:tcPr>
            <w:tcW w:type="dxa" w:w="1360"/>
            <w:tcBorders>
              <w:top w:val="single" w:color="888888" w:sz="4"/>
              <w:left w:val="single" w:color="888888" w:sz="4"/>
              <w:bottom w:val="single" w:color="888888" w:sz="4"/>
              <w:right w:val="single" w:color="888888" w:sz="4"/>
            </w:tcBorders>
            <w:tcMar>
              <w:top w:type="dxa" w:w="70"/>
              <w:left w:type="dxa" w:w="110"/>
              <w:bottom w:type="dxa" w:w="70"/>
              <w:right w:type="dxa" w:w="110"/>
            </w:tcMar>
          </w:tcPr>
          <w:p>
            <w:pPr>
              <w:spacing w:after="30"/>
            </w:pPr>
            <w:r>
              <w:rPr>
                <w:rFonts w:ascii="Times New Roman" w:cs="Times New Roman" w:eastAsia="Times New Roman" w:hAnsi="Times New Roman"/>
                <w:sz w:val="22"/>
                <w:szCs w:val="22"/>
              </w:rPr>
              <w:t xml:space="preserve">No</w:t>
            </w:r>
          </w:p>
        </w:tc>
      </w:tr>
      <w:tr>
        <w:tc>
          <w:tcPr>
            <w:tcW w:type="dxa" w:w="3000"/>
            <w:tcBorders>
              <w:top w:val="single" w:color="888888" w:sz="4"/>
              <w:left w:val="single" w:color="888888" w:sz="4"/>
              <w:bottom w:val="single" w:color="888888" w:sz="4"/>
              <w:right w:val="single" w:color="888888" w:sz="4"/>
            </w:tcBorders>
            <w:tcMar>
              <w:top w:type="dxa" w:w="70"/>
              <w:left w:type="dxa" w:w="110"/>
              <w:bottom w:type="dxa" w:w="70"/>
              <w:right w:type="dxa" w:w="110"/>
            </w:tcMar>
          </w:tcPr>
          <w:p>
            <w:pPr>
              <w:spacing w:after="30"/>
            </w:pPr>
            <w:r>
              <w:rPr>
                <w:rFonts w:ascii="Times New Roman" w:cs="Times New Roman" w:eastAsia="Times New Roman" w:hAnsi="Times New Roman"/>
                <w:sz w:val="22"/>
                <w:szCs w:val="22"/>
              </w:rPr>
              <w:t xml:space="preserve">BCRYPT_ROUNDS</w:t>
            </w:r>
          </w:p>
        </w:tc>
        <w:tc>
          <w:tcPr>
            <w:tcW w:type="dxa" w:w="5000"/>
            <w:tcBorders>
              <w:top w:val="single" w:color="888888" w:sz="4"/>
              <w:left w:val="single" w:color="888888" w:sz="4"/>
              <w:bottom w:val="single" w:color="888888" w:sz="4"/>
              <w:right w:val="single" w:color="888888" w:sz="4"/>
            </w:tcBorders>
            <w:tcMar>
              <w:top w:type="dxa" w:w="70"/>
              <w:left w:type="dxa" w:w="110"/>
              <w:bottom w:type="dxa" w:w="70"/>
              <w:right w:type="dxa" w:w="110"/>
            </w:tcMar>
          </w:tcPr>
          <w:p>
            <w:pPr>
              <w:spacing w:after="30"/>
            </w:pPr>
            <w:r>
              <w:rPr>
                <w:rFonts w:ascii="Times New Roman" w:cs="Times New Roman" w:eastAsia="Times New Roman" w:hAnsi="Times New Roman"/>
                <w:sz w:val="22"/>
                <w:szCs w:val="22"/>
              </w:rPr>
              <w:t xml:space="preserve">Password hashing work factor (default 12).</w:t>
            </w:r>
          </w:p>
        </w:tc>
        <w:tc>
          <w:tcPr>
            <w:tcW w:type="dxa" w:w="1360"/>
            <w:tcBorders>
              <w:top w:val="single" w:color="888888" w:sz="4"/>
              <w:left w:val="single" w:color="888888" w:sz="4"/>
              <w:bottom w:val="single" w:color="888888" w:sz="4"/>
              <w:right w:val="single" w:color="888888" w:sz="4"/>
            </w:tcBorders>
            <w:tcMar>
              <w:top w:type="dxa" w:w="70"/>
              <w:left w:type="dxa" w:w="110"/>
              <w:bottom w:type="dxa" w:w="70"/>
              <w:right w:type="dxa" w:w="110"/>
            </w:tcMar>
          </w:tcPr>
          <w:p>
            <w:pPr>
              <w:spacing w:after="30"/>
            </w:pPr>
            <w:r>
              <w:rPr>
                <w:rFonts w:ascii="Times New Roman" w:cs="Times New Roman" w:eastAsia="Times New Roman" w:hAnsi="Times New Roman"/>
                <w:sz w:val="22"/>
                <w:szCs w:val="22"/>
              </w:rPr>
              <w:t xml:space="preserve">No</w:t>
            </w:r>
          </w:p>
        </w:tc>
      </w:tr>
      <w:tr>
        <w:tc>
          <w:tcPr>
            <w:tcW w:type="dxa" w:w="3000"/>
            <w:tcBorders>
              <w:top w:val="single" w:color="888888" w:sz="4"/>
              <w:left w:val="single" w:color="888888" w:sz="4"/>
              <w:bottom w:val="single" w:color="888888" w:sz="4"/>
              <w:right w:val="single" w:color="888888" w:sz="4"/>
            </w:tcBorders>
            <w:tcMar>
              <w:top w:type="dxa" w:w="70"/>
              <w:left w:type="dxa" w:w="110"/>
              <w:bottom w:type="dxa" w:w="70"/>
              <w:right w:type="dxa" w:w="110"/>
            </w:tcMar>
          </w:tcPr>
          <w:p>
            <w:pPr>
              <w:spacing w:after="30"/>
            </w:pPr>
            <w:r>
              <w:rPr>
                <w:rFonts w:ascii="Times New Roman" w:cs="Times New Roman" w:eastAsia="Times New Roman" w:hAnsi="Times New Roman"/>
                <w:sz w:val="22"/>
                <w:szCs w:val="22"/>
              </w:rPr>
              <w:t xml:space="preserve">ML_SERVICE_URL</w:t>
            </w:r>
          </w:p>
        </w:tc>
        <w:tc>
          <w:tcPr>
            <w:tcW w:type="dxa" w:w="5000"/>
            <w:tcBorders>
              <w:top w:val="single" w:color="888888" w:sz="4"/>
              <w:left w:val="single" w:color="888888" w:sz="4"/>
              <w:bottom w:val="single" w:color="888888" w:sz="4"/>
              <w:right w:val="single" w:color="888888" w:sz="4"/>
            </w:tcBorders>
            <w:tcMar>
              <w:top w:type="dxa" w:w="70"/>
              <w:left w:type="dxa" w:w="110"/>
              <w:bottom w:type="dxa" w:w="70"/>
              <w:right w:type="dxa" w:w="110"/>
            </w:tcMar>
          </w:tcPr>
          <w:p>
            <w:pPr>
              <w:spacing w:after="30"/>
            </w:pPr>
            <w:r>
              <w:rPr>
                <w:rFonts w:ascii="Times New Roman" w:cs="Times New Roman" w:eastAsia="Times New Roman" w:hAnsi="Times New Roman"/>
                <w:sz w:val="22"/>
                <w:szCs w:val="22"/>
              </w:rPr>
              <w:t xml:space="preserve">Localhost URL of the Python ML service.</w:t>
            </w:r>
          </w:p>
        </w:tc>
        <w:tc>
          <w:tcPr>
            <w:tcW w:type="dxa" w:w="1360"/>
            <w:tcBorders>
              <w:top w:val="single" w:color="888888" w:sz="4"/>
              <w:left w:val="single" w:color="888888" w:sz="4"/>
              <w:bottom w:val="single" w:color="888888" w:sz="4"/>
              <w:right w:val="single" w:color="888888" w:sz="4"/>
            </w:tcBorders>
            <w:tcMar>
              <w:top w:type="dxa" w:w="70"/>
              <w:left w:type="dxa" w:w="110"/>
              <w:bottom w:type="dxa" w:w="70"/>
              <w:right w:type="dxa" w:w="110"/>
            </w:tcMar>
          </w:tcPr>
          <w:p>
            <w:pPr>
              <w:spacing w:after="30"/>
            </w:pPr>
            <w:r>
              <w:rPr>
                <w:rFonts w:ascii="Times New Roman" w:cs="Times New Roman" w:eastAsia="Times New Roman" w:hAnsi="Times New Roman"/>
                <w:sz w:val="22"/>
                <w:szCs w:val="22"/>
              </w:rPr>
              <w:t xml:space="preserve">No</w:t>
            </w:r>
          </w:p>
        </w:tc>
      </w:tr>
      <w:tr>
        <w:tc>
          <w:tcPr>
            <w:tcW w:type="dxa" w:w="3000"/>
            <w:tcBorders>
              <w:top w:val="single" w:color="888888" w:sz="4"/>
              <w:left w:val="single" w:color="888888" w:sz="4"/>
              <w:bottom w:val="single" w:color="888888" w:sz="4"/>
              <w:right w:val="single" w:color="888888" w:sz="4"/>
            </w:tcBorders>
            <w:tcMar>
              <w:top w:type="dxa" w:w="70"/>
              <w:left w:type="dxa" w:w="110"/>
              <w:bottom w:type="dxa" w:w="70"/>
              <w:right w:type="dxa" w:w="110"/>
            </w:tcMar>
          </w:tcPr>
          <w:p>
            <w:pPr>
              <w:spacing w:after="30"/>
            </w:pPr>
            <w:r>
              <w:rPr>
                <w:rFonts w:ascii="Times New Roman" w:cs="Times New Roman" w:eastAsia="Times New Roman" w:hAnsi="Times New Roman"/>
                <w:sz w:val="22"/>
                <w:szCs w:val="22"/>
              </w:rPr>
              <w:t xml:space="preserve">PREDICTION_STALENESS_HOURS</w:t>
            </w:r>
          </w:p>
        </w:tc>
        <w:tc>
          <w:tcPr>
            <w:tcW w:type="dxa" w:w="5000"/>
            <w:tcBorders>
              <w:top w:val="single" w:color="888888" w:sz="4"/>
              <w:left w:val="single" w:color="888888" w:sz="4"/>
              <w:bottom w:val="single" w:color="888888" w:sz="4"/>
              <w:right w:val="single" w:color="888888" w:sz="4"/>
            </w:tcBorders>
            <w:tcMar>
              <w:top w:type="dxa" w:w="70"/>
              <w:left w:type="dxa" w:w="110"/>
              <w:bottom w:type="dxa" w:w="70"/>
              <w:right w:type="dxa" w:w="110"/>
            </w:tcMar>
          </w:tcPr>
          <w:p>
            <w:pPr>
              <w:spacing w:after="30"/>
            </w:pPr>
            <w:r>
              <w:rPr>
                <w:rFonts w:ascii="Times New Roman" w:cs="Times New Roman" w:eastAsia="Times New Roman" w:hAnsi="Times New Roman"/>
                <w:sz w:val="22"/>
                <w:szCs w:val="22"/>
              </w:rPr>
              <w:t xml:space="preserve">How old a cached prediction can be before recalculation (default 24).</w:t>
            </w:r>
          </w:p>
        </w:tc>
        <w:tc>
          <w:tcPr>
            <w:tcW w:type="dxa" w:w="1360"/>
            <w:tcBorders>
              <w:top w:val="single" w:color="888888" w:sz="4"/>
              <w:left w:val="single" w:color="888888" w:sz="4"/>
              <w:bottom w:val="single" w:color="888888" w:sz="4"/>
              <w:right w:val="single" w:color="888888" w:sz="4"/>
            </w:tcBorders>
            <w:tcMar>
              <w:top w:type="dxa" w:w="70"/>
              <w:left w:type="dxa" w:w="110"/>
              <w:bottom w:type="dxa" w:w="70"/>
              <w:right w:type="dxa" w:w="110"/>
            </w:tcMar>
          </w:tcPr>
          <w:p>
            <w:pPr>
              <w:spacing w:after="30"/>
            </w:pPr>
            <w:r>
              <w:rPr>
                <w:rFonts w:ascii="Times New Roman" w:cs="Times New Roman" w:eastAsia="Times New Roman" w:hAnsi="Times New Roman"/>
                <w:sz w:val="22"/>
                <w:szCs w:val="22"/>
              </w:rPr>
              <w:t xml:space="preserve">No</w:t>
            </w:r>
          </w:p>
        </w:tc>
      </w:tr>
      <w:tr>
        <w:tc>
          <w:tcPr>
            <w:tcW w:type="dxa" w:w="3000"/>
            <w:tcBorders>
              <w:top w:val="single" w:color="888888" w:sz="4"/>
              <w:left w:val="single" w:color="888888" w:sz="4"/>
              <w:bottom w:val="single" w:color="888888" w:sz="4"/>
              <w:right w:val="single" w:color="888888" w:sz="4"/>
            </w:tcBorders>
            <w:tcMar>
              <w:top w:type="dxa" w:w="70"/>
              <w:left w:type="dxa" w:w="110"/>
              <w:bottom w:type="dxa" w:w="70"/>
              <w:right w:type="dxa" w:w="110"/>
            </w:tcMar>
          </w:tcPr>
          <w:p>
            <w:pPr>
              <w:spacing w:after="30"/>
            </w:pPr>
            <w:r>
              <w:rPr>
                <w:rFonts w:ascii="Times New Roman" w:cs="Times New Roman" w:eastAsia="Times New Roman" w:hAnsi="Times New Roman"/>
                <w:sz w:val="22"/>
                <w:szCs w:val="22"/>
              </w:rPr>
              <w:t xml:space="preserve">RISK_FREE_RATE</w:t>
            </w:r>
          </w:p>
        </w:tc>
        <w:tc>
          <w:tcPr>
            <w:tcW w:type="dxa" w:w="5000"/>
            <w:tcBorders>
              <w:top w:val="single" w:color="888888" w:sz="4"/>
              <w:left w:val="single" w:color="888888" w:sz="4"/>
              <w:bottom w:val="single" w:color="888888" w:sz="4"/>
              <w:right w:val="single" w:color="888888" w:sz="4"/>
            </w:tcBorders>
            <w:tcMar>
              <w:top w:type="dxa" w:w="70"/>
              <w:left w:type="dxa" w:w="110"/>
              <w:bottom w:type="dxa" w:w="70"/>
              <w:right w:type="dxa" w:w="110"/>
            </w:tcMar>
          </w:tcPr>
          <w:p>
            <w:pPr>
              <w:spacing w:after="30"/>
            </w:pPr>
            <w:r>
              <w:rPr>
                <w:rFonts w:ascii="Times New Roman" w:cs="Times New Roman" w:eastAsia="Times New Roman" w:hAnsi="Times New Roman"/>
                <w:sz w:val="22"/>
                <w:szCs w:val="22"/>
              </w:rPr>
              <w:t xml:space="preserve">Used by Sharpe ratio (default 0.065 for INR).</w:t>
            </w:r>
          </w:p>
        </w:tc>
        <w:tc>
          <w:tcPr>
            <w:tcW w:type="dxa" w:w="1360"/>
            <w:tcBorders>
              <w:top w:val="single" w:color="888888" w:sz="4"/>
              <w:left w:val="single" w:color="888888" w:sz="4"/>
              <w:bottom w:val="single" w:color="888888" w:sz="4"/>
              <w:right w:val="single" w:color="888888" w:sz="4"/>
            </w:tcBorders>
            <w:tcMar>
              <w:top w:type="dxa" w:w="70"/>
              <w:left w:type="dxa" w:w="110"/>
              <w:bottom w:type="dxa" w:w="70"/>
              <w:right w:type="dxa" w:w="110"/>
            </w:tcMar>
          </w:tcPr>
          <w:p>
            <w:pPr>
              <w:spacing w:after="30"/>
            </w:pPr>
            <w:r>
              <w:rPr>
                <w:rFonts w:ascii="Times New Roman" w:cs="Times New Roman" w:eastAsia="Times New Roman" w:hAnsi="Times New Roman"/>
                <w:sz w:val="22"/>
                <w:szCs w:val="22"/>
              </w:rPr>
              <w:t xml:space="preserve">No</w:t>
            </w:r>
          </w:p>
        </w:tc>
      </w:tr>
      <w:tr>
        <w:tc>
          <w:tcPr>
            <w:tcW w:type="dxa" w:w="3000"/>
            <w:tcBorders>
              <w:top w:val="single" w:color="888888" w:sz="4"/>
              <w:left w:val="single" w:color="888888" w:sz="4"/>
              <w:bottom w:val="single" w:color="888888" w:sz="4"/>
              <w:right w:val="single" w:color="888888" w:sz="4"/>
            </w:tcBorders>
            <w:tcMar>
              <w:top w:type="dxa" w:w="70"/>
              <w:left w:type="dxa" w:w="110"/>
              <w:bottom w:type="dxa" w:w="70"/>
              <w:right w:type="dxa" w:w="110"/>
            </w:tcMar>
          </w:tcPr>
          <w:p>
            <w:pPr>
              <w:spacing w:after="30"/>
            </w:pPr>
            <w:r>
              <w:rPr>
                <w:rFonts w:ascii="Times New Roman" w:cs="Times New Roman" w:eastAsia="Times New Roman" w:hAnsi="Times New Roman"/>
                <w:sz w:val="22"/>
                <w:szCs w:val="22"/>
              </w:rPr>
              <w:t xml:space="preserve">LOG_LEVEL, NODE_ENV</w:t>
            </w:r>
          </w:p>
        </w:tc>
        <w:tc>
          <w:tcPr>
            <w:tcW w:type="dxa" w:w="5000"/>
            <w:tcBorders>
              <w:top w:val="single" w:color="888888" w:sz="4"/>
              <w:left w:val="single" w:color="888888" w:sz="4"/>
              <w:bottom w:val="single" w:color="888888" w:sz="4"/>
              <w:right w:val="single" w:color="888888" w:sz="4"/>
            </w:tcBorders>
            <w:tcMar>
              <w:top w:type="dxa" w:w="70"/>
              <w:left w:type="dxa" w:w="110"/>
              <w:bottom w:type="dxa" w:w="70"/>
              <w:right w:type="dxa" w:w="110"/>
            </w:tcMar>
          </w:tcPr>
          <w:p>
            <w:pPr>
              <w:spacing w:after="30"/>
            </w:pPr>
            <w:r>
              <w:rPr>
                <w:rFonts w:ascii="Times New Roman" w:cs="Times New Roman" w:eastAsia="Times New Roman" w:hAnsi="Times New Roman"/>
                <w:sz w:val="22"/>
                <w:szCs w:val="22"/>
              </w:rPr>
              <w:t xml:space="preserve">Logging verbosity and runtime environment.</w:t>
            </w:r>
          </w:p>
        </w:tc>
        <w:tc>
          <w:tcPr>
            <w:tcW w:type="dxa" w:w="1360"/>
            <w:tcBorders>
              <w:top w:val="single" w:color="888888" w:sz="4"/>
              <w:left w:val="single" w:color="888888" w:sz="4"/>
              <w:bottom w:val="single" w:color="888888" w:sz="4"/>
              <w:right w:val="single" w:color="888888" w:sz="4"/>
            </w:tcBorders>
            <w:tcMar>
              <w:top w:type="dxa" w:w="70"/>
              <w:left w:type="dxa" w:w="110"/>
              <w:bottom w:type="dxa" w:w="70"/>
              <w:right w:type="dxa" w:w="110"/>
            </w:tcMar>
          </w:tcPr>
          <w:p>
            <w:pPr>
              <w:spacing w:after="30"/>
            </w:pPr>
            <w:r>
              <w:rPr>
                <w:rFonts w:ascii="Times New Roman" w:cs="Times New Roman" w:eastAsia="Times New Roman" w:hAnsi="Times New Roman"/>
                <w:sz w:val="22"/>
                <w:szCs w:val="22"/>
              </w:rPr>
              <w:t xml:space="preserve">No</w:t>
            </w:r>
          </w:p>
        </w:tc>
      </w:tr>
    </w:tbl>
    <w:p>
      <w:pPr>
        <w:pStyle w:val="Heading1"/>
        <w:spacing w:after="140" w:before="280"/>
      </w:pPr>
      <w:r>
        <w:rPr>
          <w:rFonts w:ascii="Times New Roman" w:cs="Times New Roman" w:eastAsia="Times New Roman" w:hAnsi="Times New Roman"/>
          <w:b/>
          <w:bCs/>
          <w:sz w:val="30"/>
          <w:szCs w:val="30"/>
        </w:rPr>
        <w:t xml:space="preserve">8  Quality of Service</w:t>
      </w:r>
    </w:p>
    <w:p>
      <w:pPr>
        <w:pStyle w:val="Heading2"/>
        <w:spacing w:after="100" w:before="200"/>
      </w:pPr>
      <w:r>
        <w:rPr>
          <w:rFonts w:ascii="Times New Roman" w:cs="Times New Roman" w:eastAsia="Times New Roman" w:hAnsi="Times New Roman"/>
          <w:b/>
          <w:bCs/>
          <w:sz w:val="25"/>
          <w:szCs w:val="25"/>
        </w:rPr>
        <w:t xml:space="preserve">8.1  Availability</w:t>
      </w:r>
    </w:p>
    <w:p>
      <w:pPr>
        <w:spacing w:after="120" w:line="280"/>
        <w:jc w:val="both"/>
      </w:pPr>
      <w:r>
        <w:rPr>
          <w:rFonts w:ascii="Times New Roman" w:cs="Times New Roman" w:eastAsia="Times New Roman" w:hAnsi="Times New Roman"/>
          <w:sz w:val="22"/>
          <w:szCs w:val="22"/>
        </w:rPr>
        <w:t xml:space="preserve">VAKVIC v1.0 is evaluated in a development environment, so there is no formal uptime SLA. The design still avoids obvious downtime traps: the ingestion job runs out-of-process so it cannot block the API, and the ML service runs as a separate process so a model crash does not take down the backend. The /health endpoint exists for ops checks.</w:t>
      </w:r>
    </w:p>
    <w:p>
      <w:pPr>
        <w:pStyle w:val="Heading2"/>
        <w:spacing w:after="100" w:before="200"/>
      </w:pPr>
      <w:r>
        <w:rPr>
          <w:rFonts w:ascii="Times New Roman" w:cs="Times New Roman" w:eastAsia="Times New Roman" w:hAnsi="Times New Roman"/>
          <w:b/>
          <w:bCs/>
          <w:sz w:val="25"/>
          <w:szCs w:val="25"/>
        </w:rPr>
        <w:t xml:space="preserve">8.2  Security and Authorization</w:t>
      </w:r>
    </w:p>
    <w:p>
      <w:pPr>
        <w:spacing w:after="120" w:line="280"/>
        <w:jc w:val="both"/>
      </w:pPr>
      <w:r>
        <w:rPr>
          <w:rFonts w:ascii="Times New Roman" w:cs="Times New Roman" w:eastAsia="Times New Roman" w:hAnsi="Times New Roman"/>
          <w:sz w:val="22"/>
          <w:szCs w:val="22"/>
        </w:rPr>
        <w:t xml:space="preserve">Three layers, all per the SRS:</w:t>
      </w:r>
    </w:p>
    <w:p>
      <w:pPr>
        <w:pStyle w:val="ListParagraph"/>
        <w:numPr>
          <w:ilvl w:val="0"/>
          <w:numId w:val="2"/>
        </w:numPr>
        <w:spacing w:after="60" w:line="280"/>
      </w:pPr>
      <w:r>
        <w:rPr>
          <w:rFonts w:ascii="Times New Roman" w:cs="Times New Roman" w:eastAsia="Times New Roman" w:hAnsi="Times New Roman"/>
          <w:sz w:val="22"/>
          <w:szCs w:val="22"/>
        </w:rPr>
        <w:t xml:space="preserve">Passwords are bcrypt-hashed with work factor ≥ 12. Plaintext is never logged or persisted.</w:t>
      </w:r>
    </w:p>
    <w:p>
      <w:pPr>
        <w:pStyle w:val="ListParagraph"/>
        <w:numPr>
          <w:ilvl w:val="0"/>
          <w:numId w:val="2"/>
        </w:numPr>
        <w:spacing w:after="60" w:line="280"/>
      </w:pPr>
      <w:r>
        <w:rPr>
          <w:rFonts w:ascii="Times New Roman" w:cs="Times New Roman" w:eastAsia="Times New Roman" w:hAnsi="Times New Roman"/>
          <w:sz w:val="22"/>
          <w:szCs w:val="22"/>
        </w:rPr>
        <w:t xml:space="preserve">All user-specific routes require a valid JWT, expiring after 24 hours. The auth middleware is the single chokepoint.</w:t>
      </w:r>
    </w:p>
    <w:p>
      <w:pPr>
        <w:pStyle w:val="ListParagraph"/>
        <w:numPr>
          <w:ilvl w:val="0"/>
          <w:numId w:val="2"/>
        </w:numPr>
        <w:spacing w:after="60" w:line="280"/>
      </w:pPr>
      <w:r>
        <w:rPr>
          <w:rFonts w:ascii="Times New Roman" w:cs="Times New Roman" w:eastAsia="Times New Roman" w:hAnsi="Times New Roman"/>
          <w:sz w:val="22"/>
          <w:szCs w:val="22"/>
        </w:rPr>
        <w:t xml:space="preserve">Every DAL helper uses parameterized queries. SQL injection is impossible by construction, not by vigilance.</w:t>
      </w:r>
    </w:p>
    <w:p>
      <w:pPr>
        <w:spacing w:after="120" w:line="280"/>
        <w:jc w:val="both"/>
      </w:pPr>
      <w:r>
        <w:rPr>
          <w:rFonts w:ascii="Times New Roman" w:cs="Times New Roman" w:eastAsia="Times New Roman" w:hAnsi="Times New Roman"/>
          <w:sz w:val="22"/>
          <w:szCs w:val="22"/>
        </w:rPr>
        <w:t xml:space="preserve">There is no role-based access control in v1.0 — every authenticated user has the same permissions and can only see their own rows.</w:t>
      </w:r>
    </w:p>
    <w:p>
      <w:pPr>
        <w:pStyle w:val="Heading2"/>
        <w:spacing w:after="100" w:before="200"/>
      </w:pPr>
      <w:r>
        <w:rPr>
          <w:rFonts w:ascii="Times New Roman" w:cs="Times New Roman" w:eastAsia="Times New Roman" w:hAnsi="Times New Roman"/>
          <w:b/>
          <w:bCs/>
          <w:sz w:val="25"/>
          <w:szCs w:val="25"/>
        </w:rPr>
        <w:t xml:space="preserve">8.3  Load and Performance Implications</w:t>
      </w:r>
    </w:p>
    <w:p>
      <w:pPr>
        <w:spacing w:after="120" w:line="280"/>
        <w:jc w:val="both"/>
      </w:pPr>
      <w:r>
        <w:rPr>
          <w:rFonts w:ascii="Times New Roman" w:cs="Times New Roman" w:eastAsia="Times New Roman" w:hAnsi="Times New Roman"/>
          <w:sz w:val="22"/>
          <w:szCs w:val="22"/>
        </w:rPr>
        <w:t xml:space="preserve">The SRS budget is 2s for cached responses, 5s for LSTM inference, 3s for the dashboard, up to 50 concurrent users. Predictions and metrics are precomputed and cached, so the hot path for /compare and /predictions is a single indexed read. The pg connection pool is sized to 10. LSTM models are loaded once at ML service startup, so per-request inference is just a forward pass on a 60-day window. Database growth is trivial: ~60 assets × 252 trading days × 5 years ≈ 75k rows in asset_prices.</w:t>
      </w:r>
    </w:p>
    <w:p>
      <w:pPr>
        <w:pStyle w:val="Heading2"/>
        <w:spacing w:after="100" w:before="200"/>
      </w:pPr>
      <w:r>
        <w:rPr>
          <w:rFonts w:ascii="Times New Roman" w:cs="Times New Roman" w:eastAsia="Times New Roman" w:hAnsi="Times New Roman"/>
          <w:b/>
          <w:bCs/>
          <w:sz w:val="25"/>
          <w:szCs w:val="25"/>
        </w:rPr>
        <w:t xml:space="preserve">8.4  Monitoring and Control</w:t>
      </w:r>
    </w:p>
    <w:p>
      <w:pPr>
        <w:spacing w:after="120" w:line="280"/>
        <w:jc w:val="both"/>
      </w:pPr>
      <w:r>
        <w:rPr>
          <w:rFonts w:ascii="Times New Roman" w:cs="Times New Roman" w:eastAsia="Times New Roman" w:hAnsi="Times New Roman"/>
          <w:sz w:val="22"/>
          <w:szCs w:val="22"/>
        </w:rPr>
        <w:t xml:space="preserve">Three observable signals:</w:t>
      </w:r>
    </w:p>
    <w:p>
      <w:pPr>
        <w:pStyle w:val="ListParagraph"/>
        <w:numPr>
          <w:ilvl w:val="0"/>
          <w:numId w:val="2"/>
        </w:numPr>
        <w:spacing w:after="60" w:line="280"/>
      </w:pPr>
      <w:r>
        <w:rPr>
          <w:rFonts w:ascii="Times New Roman" w:cs="Times New Roman" w:eastAsia="Times New Roman" w:hAnsi="Times New Roman"/>
          <w:sz w:val="22"/>
          <w:szCs w:val="22"/>
        </w:rPr>
        <w:t xml:space="preserve">/health endpoint with build version, database ping, and ML service ping.</w:t>
      </w:r>
    </w:p>
    <w:p>
      <w:pPr>
        <w:pStyle w:val="ListParagraph"/>
        <w:numPr>
          <w:ilvl w:val="0"/>
          <w:numId w:val="2"/>
        </w:numPr>
        <w:spacing w:after="60" w:line="280"/>
      </w:pPr>
      <w:r>
        <w:rPr>
          <w:rFonts w:ascii="Times New Roman" w:cs="Times New Roman" w:eastAsia="Times New Roman" w:hAnsi="Times New Roman"/>
          <w:sz w:val="22"/>
          <w:szCs w:val="22"/>
        </w:rPr>
        <w:t xml:space="preserve">Structured JSON logs for every request: timestamp, request_id, route, status, duration_ms, user_id.</w:t>
      </w:r>
    </w:p>
    <w:p>
      <w:pPr>
        <w:pStyle w:val="ListParagraph"/>
        <w:numPr>
          <w:ilvl w:val="0"/>
          <w:numId w:val="2"/>
        </w:numPr>
        <w:spacing w:after="60" w:line="280"/>
      </w:pPr>
      <w:r>
        <w:rPr>
          <w:rFonts w:ascii="Times New Roman" w:cs="Times New Roman" w:eastAsia="Times New Roman" w:hAnsi="Times New Roman"/>
          <w:sz w:val="22"/>
          <w:szCs w:val="22"/>
        </w:rPr>
        <w:t xml:space="preserve">Per-run ingestion summary: assets attempted, succeeded, failed, with error types for each failure.</w:t>
      </w:r>
    </w:p>
    <w:sectPr>
      <w:headerReference w:type="default" r:id="rId7"/>
      <w:headerReference w:type="first" r:id="rId8"/>
      <w:footerReference w:type="default" r:id="rId9"/>
      <w:footerReference w:type="first" r:id="rId10"/>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888888"/>
        <w:sz w:val="18"/>
        <w:szCs w:val="18"/>
      </w:rPr>
      <w:t xml:space="preserve">Page </w:t>
    </w:r>
    <w:r>
      <w:rPr>
        <w:rFonts w:ascii="Times New Roman" w:cs="Times New Roman" w:eastAsia="Times New Roman" w:hAnsi="Times New Roman"/>
        <w:color w:val="888888"/>
        <w:sz w:val="18"/>
        <w:szCs w:val="18"/>
      </w:rPr>
      <w:fldChar w:fldCharType="begin"/>
      <w:instrText xml:space="preserve">PAGE</w:instrText>
      <w:fldChar w:fldCharType="separate"/>
      <w:fldChar w:fldCharType="end"/>
    </w:r>
    <w:r>
      <w:rPr>
        <w:rFonts w:ascii="Times New Roman" w:cs="Times New Roman" w:eastAsia="Times New Roman" w:hAnsi="Times New Roman"/>
        <w:color w:val="888888"/>
        <w:sz w:val="18"/>
        <w:szCs w:val="18"/>
      </w:rPr>
      <w:t xml:space="preserve"> of </w:t>
    </w:r>
    <w:r>
      <w:rPr>
        <w:rFonts w:ascii="Times New Roman" w:cs="Times New Roman" w:eastAsia="Times New Roman" w:hAnsi="Times New Roman"/>
        <w:color w:val="888888"/>
        <w:sz w:val="18"/>
        <w:szCs w:val="18"/>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Times New Roman" w:cs="Times New Roman" w:eastAsia="Times New Roman" w:hAnsi="Times New Roman"/>
        <w:sz w:val="18"/>
        <w:szCs w:val="18"/>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888888"/>
        <w:sz w:val="18"/>
        <w:szCs w:val="18"/>
      </w:rPr>
      <w:t xml:space="preserve">VAKVIC SDS v1.0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Times New Roman" w:cs="Times New Roman" w:eastAsia="Times New Roman" w:hAnsi="Times New Roman"/>
        <w:sz w:val="18"/>
        <w:szCs w:val="18"/>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9af8237f2584e14c30ceb12db0a97f3f8311f94e.png"/><Relationship Id="rId12" Type="http://schemas.openxmlformats.org/officeDocument/2006/relationships/image" Target="media/91dff485461abf95faaaa9af83d3c969400ac387.png"/><Relationship Id="rId13" Type="http://schemas.openxmlformats.org/officeDocument/2006/relationships/image" Target="media/153d34750509e00a057f75c4b7dd8cbf576158d6.png"/><Relationship Id="rId14" Type="http://schemas.openxmlformats.org/officeDocument/2006/relationships/image" Target="media/61c10d4910508d4d47f2cfd43ffb50d1e0280556.png"/><Relationship Id="rId15" Type="http://schemas.openxmlformats.org/officeDocument/2006/relationships/image" Target="media/c0277e330d9524f5f240e68351935449cdff3781.png"/><Relationship Id="rId16" Type="http://schemas.openxmlformats.org/officeDocument/2006/relationships/image" Target="media/f09a99cfd4eb515f18564b65a3e8fe0a8d27d0c3.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VAKVIC Software Design Specification v1.0</dc:title>
  <dc:creator>VAKVIC Team</dc:creator>
  <cp:lastModifiedBy>Un-named</cp:lastModifiedBy>
  <cp:revision>1</cp:revision>
  <dcterms:created xsi:type="dcterms:W3CDTF">2026-04-08T15:06:26.325Z</dcterms:created>
  <dcterms:modified xsi:type="dcterms:W3CDTF">2026-04-08T15:06:26.326Z</dcterms:modified>
</cp:coreProperties>
</file>

<file path=docProps/custom.xml><?xml version="1.0" encoding="utf-8"?>
<Properties xmlns="http://schemas.openxmlformats.org/officeDocument/2006/custom-properties" xmlns:vt="http://schemas.openxmlformats.org/officeDocument/2006/docPropsVTypes"/>
</file>