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Software Requirements Specification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sz w:val="26"/>
          <w:szCs w:val="26"/>
        </w:rPr>
        <w:t xml:space="preserve">for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VAKVIC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Value Analytics &amp; Knowledge-driven Value Intelligence Core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1.0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340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Amogh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SE23UCSE022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Lead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se23ucse022@mahindrauniversity.edu.in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Venkat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/ DL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se23ucse001@mahindrauniversity.edu.in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Vivardhan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SE23UCSE006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/ DL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se23ucse006@mahindrauniversity.edu.in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Vishwanath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SE23UCSE208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/ UX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se23ucse208@mahindrauniversity.edu.in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/ UX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se23ucse005@mahindrauniversity.edu.in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Koushik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SE23UCSE096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se23ucse096@mahindrauniversity.edu.in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Institution: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Mahindra University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9, 2026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Initial Release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4260"/>
        <w:gridCol w:w="1700"/>
      </w:tblGrid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Author(s)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document for VAKVIC platform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09/03/2026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  Introduction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 Document Purpose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SRS defines the functional, interface, and quality requirements for VAKVIC (Value Analytics &amp; Knowledge-driven Value Intelligence Core), version 1.0, developed as a Software Engineering capstone at Mahindra University. It is the authoritative reference for all design, implementation, and testing decisions across the 9-week development sprint.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 Product Scope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VAKVIC is a web-based financial analytics platform focused on the Indian market (NIFTY 50), with all values in INR. It is not a trade execution system — it is a decision-support tool. Its three core capabilities are: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LSTM-based asset price prediction over user-selected horizons of 7, 14, 30, or 90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Side-by-side asset comparison with ML-computed suitability scores (volatility, Sharpe ratio, trend strength, drawdown).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Markowitz Mean-Variance portfolio optimization based on user-specified capital, risk tolerance, and time horizon.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 Intended Audience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Development team (all six members), course instructor/evaluator, and future maintainers. Readers unfamiliar with the project should start with Section 2 before Section 3.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 Definitions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Object and Multithread Enhanced Technology — design method used in this project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Exchange-Traded Fund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Rupee — currency for all financial values in VAKVIC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signed token used for user authentication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Short-Term Memory — recurrent neural network architecture for time-series prediction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50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benchmark index of 50 large-cap Indian stocks — VAKVIC's primary asset universe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node-pg-migrate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library for versioned, reversible PostgreSQL schema migrations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High, Low, Close, Volume — standard daily price record fields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 — architectural style for all VAKVIC API endpoints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library for fetching historical financial data from Yahoo Finance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 Document Conventions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IEEE 830-1998 format. Arial 11pt, 1" margins. Prefixes: F = functional requirement, NF = non-functional requirement, UC = use case, OR = other requirement. 'Shall' = mandatory; 'should' = desirable.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1.6  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IEEE Std 830-1998 — Software Requirements Specifications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yfinance — https://pypi.org/project/yfinance/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PostgreSQL 16 — https://www.postgresql.org/docs/16/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node-pg-migrate — https://github.com/salsita/node-pg-migrate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TensorFlow/Keras LSTM — https://keras.io/api/layers/recurrent_layers/lstm/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Express.js — https://expressjs.com/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  Overall Description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 Product Overview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VAKVIC is a new, standalone, full-stack web application built from scratch over a 9-week sprint. It targets retail investors in India who want ML-backed financial insights without a technical background. Four subsystems communicate through documented data contracts owned by the Database Lead: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User Browser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↕  HTTP / REST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React.js Frontend  —  Vishwanath &amp; Charan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↕  REST API (JSON)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[ Express / Node.js Backend  —  Koushik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↙  DB queries (pg)                  ↘  Model calls (Python)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[ PostgreSQL 16  —  Amogh ]          [ LSTM / ML Models  —  Venkat &amp; Vivardhan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sz w:val="18"/>
                <w:szCs w:val="18"/>
              </w:rPr>
              <w:t xml:space="preserve">↑  yfinance ingestion pipeline (scheduled, Python)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 Product Functionality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Historical OHLCV data ingestion and storage for NIFTY 50 assets via yfinance (daily, scheduled).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LSTM price prediction per asset for horizons of 7, 14, 30, or 90 days, with confidence intervals.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ML-based asset comparison using normalized suitability scores across four financial metrics.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Markowitz portfolio optimization from user inputs: capital (INR), risk tolerance, time horizon.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User accounts with JWT authentication, personal watchlists, and saved portfolio/comparison history.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 Design and Implementation Constraints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Design method: COMET; modeling language: UML for all diagrams.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Database: PostgreSQL 16 exclusively. Schema versioning via node-pg-migrate (up + down scripts required).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ML stack: TensorFlow/Keras for LSTM; scikit-learn for suitability scoring and portfolio optimization.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Backend: Node.js + Express.js; all endpoints versioned under /api/v1/ and return JSON.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 source: yfinance only. All DB writes from ML scripts must go through helper functions — no direct SQL.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Runtime environment: Linux/Unix, Python 3.9+, Node.js 18+, PostgreSQL 16.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 Assumptions and Dependencies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Key assumptions: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Yahoo Finance (yfinance) remains accessible and provides reliable OHLCV data for NIFTY 50 instruments throughout the project.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All team members adhere to the established data contracts. Backend deviations are caught by automated validation.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LSTM models are pre-trained and loaded at startup; runtime inference completes within 5 seconds.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The system is evaluated in a development/staging environment — production cloud deployment is out of scope.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External dependencies: yfinance, TensorFlow/Keras, scikit-learn, node-pg-migrate, pgAdmin 4.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  Specific Requirements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 External Interface Requirements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 User Interfaces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React.js frontend (dark terminal-finance theme, DM Mono + Outfit fonts) provides: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Dashboard — live ticker bar for watchlisted assets, portfolio summary, NIFTY 50 market overview cards.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Compare View — select 2+ assets; displays suitability radar chart and metric table; sessions are saveable.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Portfolio Optimizer — inputs: capital (INR), risk tolerance (Low/Medium/High), time horizon; outputs: pie chart + allocation table with INR amounts.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Watchlist / Profile — add/remove assets, view current prices (INR), access saved portfolio history.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Global Search — look up instruments by ticker or name, filterable by asset class.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 Hardware Interfaces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VAKVIC is web-based with no direct hardware dependencies. Server minimum: 4 GB RAM, 20 GB storage. LSTM training requires a CUDA-compatible GPU; CPU inference is acceptable for production. Clients: any modern browser (Chrome 110+, Firefox 110+, Safari 16+).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3.1.3  Software Interfaces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yfinance (Python 3.9+) — OHLCV ingestion into asset_prices table.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PostgreSQL 16 — primary data store; backend uses pg driver, ML scripts use psycopg2 via helper functions.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TensorFlow/Keras + scikit-learn — LSTM inference and ML scoring/optimization.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Express.js REST API — JSON interface between frontend and backend, all routes under /api/v1/.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 Functional Requirements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 Data Collection and Storage  [Amogh]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F1: </w:t>
      </w:r>
      <w:r>
        <w:rPr>
          <w:rFonts w:ascii="Arial" w:cs="Arial" w:eastAsia="Arial" w:hAnsi="Arial"/>
          <w:sz w:val="22"/>
          <w:szCs w:val="22"/>
        </w:rPr>
        <w:t xml:space="preserve">The system shall ingest historical OHLCV price data for all tracked NIFTY 50 assets using yfinance on a daily post-market schedule.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F2: </w:t>
      </w:r>
      <w:r>
        <w:rPr>
          <w:rFonts w:ascii="Arial" w:cs="Arial" w:eastAsia="Arial" w:hAnsi="Arial"/>
          <w:sz w:val="22"/>
          <w:szCs w:val="22"/>
        </w:rPr>
        <w:t xml:space="preserve">The system shall store price records in asset_prices (asset_id, date, open, high, low, close, volume, adjusted_close). All monetary values in INR.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F3: </w:t>
      </w:r>
      <w:r>
        <w:rPr>
          <w:rFonts w:ascii="Arial" w:cs="Arial" w:eastAsia="Arial" w:hAnsi="Arial"/>
          <w:sz w:val="22"/>
          <w:szCs w:val="22"/>
        </w:rPr>
        <w:t xml:space="preserve">The system shall support four asset classes — stock, ETF, bond, commodity — enforced as an enumeration on the assets table.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F4: </w:t>
      </w:r>
      <w:r>
        <w:rPr>
          <w:rFonts w:ascii="Arial" w:cs="Arial" w:eastAsia="Arial" w:hAnsi="Arial"/>
          <w:sz w:val="22"/>
          <w:szCs w:val="22"/>
        </w:rPr>
        <w:t xml:space="preserve">The database shall enforce referential integrity via cascading foreign key constraints across all related tables.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F5: </w:t>
      </w:r>
      <w:r>
        <w:rPr>
          <w:rFonts w:ascii="Arial" w:cs="Arial" w:eastAsia="Arial" w:hAnsi="Arial"/>
          <w:sz w:val="22"/>
          <w:szCs w:val="22"/>
        </w:rPr>
        <w:t xml:space="preserve">The system shall expose Python and Node.js helper functions for all DB writes (predictions, scores, portfolio results). Direct SQL from ML scripts or backend is not permitted.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 Asset Price Prediction  [Venkat &amp; Vivardhan]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F6: </w:t>
      </w:r>
      <w:r>
        <w:rPr>
          <w:rFonts w:ascii="Arial" w:cs="Arial" w:eastAsia="Arial" w:hAnsi="Arial"/>
          <w:sz w:val="22"/>
          <w:szCs w:val="22"/>
        </w:rPr>
        <w:t xml:space="preserve">The system shall train a separate LSTM model per asset using its full historical OHLCV data from asset_prices.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F7: </w:t>
      </w:r>
      <w:r>
        <w:rPr>
          <w:rFonts w:ascii="Arial" w:cs="Arial" w:eastAsia="Arial" w:hAnsi="Arial"/>
          <w:sz w:val="22"/>
          <w:szCs w:val="22"/>
        </w:rPr>
        <w:t xml:space="preserve">The system shall generate price predictions for user-requested assets over horizons of 7, 14, 30, or 90 days, storing predicted_close, confidence_lower, confidence_upper, model_version, and generated_at in the predictions table.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F8: </w:t>
      </w:r>
      <w:r>
        <w:rPr>
          <w:rFonts w:ascii="Arial" w:cs="Arial" w:eastAsia="Arial" w:hAnsi="Arial"/>
          <w:sz w:val="22"/>
          <w:szCs w:val="22"/>
        </w:rPr>
        <w:t xml:space="preserve">The frontend shall display historical prices and LSTM predictions as a single overlaid time-series chart with a shaded confidence band, labeled axes (date, INR), and legend.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F9: </w:t>
      </w:r>
      <w:r>
        <w:rPr>
          <w:rFonts w:ascii="Arial" w:cs="Arial" w:eastAsia="Arial" w:hAnsi="Arial"/>
          <w:sz w:val="22"/>
          <w:szCs w:val="22"/>
        </w:rPr>
        <w:t xml:space="preserve">Predictions older than 24 hours shall be flagged as stale and trigger automatic recalculation before serving.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  Asset Comparison  [Venkat &amp; Vivardhan / Vishwanath &amp; Charan]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F10: </w:t>
      </w:r>
      <w:r>
        <w:rPr>
          <w:rFonts w:ascii="Arial" w:cs="Arial" w:eastAsia="Arial" w:hAnsi="Arial"/>
          <w:sz w:val="22"/>
          <w:szCs w:val="22"/>
        </w:rPr>
        <w:t xml:space="preserve">The system shall allow users to select two or more assets for side-by-side comparison.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F11: </w:t>
      </w:r>
      <w:r>
        <w:rPr>
          <w:rFonts w:ascii="Arial" w:cs="Arial" w:eastAsia="Arial" w:hAnsi="Arial"/>
          <w:sz w:val="22"/>
          <w:szCs w:val="22"/>
        </w:rPr>
        <w:t xml:space="preserve">The system shall compute and store ML-based suitability scores for each asset using: annualized volatility, Sharpe ratio (risk-free rate 6.5% INR), trend strength (30-day regression slope), and maximum drawdown (trailing 1 year). Each metric is normalized to 0–100.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F12: </w:t>
      </w:r>
      <w:r>
        <w:rPr>
          <w:rFonts w:ascii="Arial" w:cs="Arial" w:eastAsia="Arial" w:hAnsi="Arial"/>
          <w:sz w:val="22"/>
          <w:szCs w:val="22"/>
        </w:rPr>
        <w:t xml:space="preserve">The frontend shall render comparison results as a radar chart (one polygon per asset) and a tabular metric summary. Users may save comparison sessions to their account.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3.2.4  Portfolio Optimization  [Venkat &amp; Vivardhan / Amogh]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F13: </w:t>
      </w:r>
      <w:r>
        <w:rPr>
          <w:rFonts w:ascii="Arial" w:cs="Arial" w:eastAsia="Arial" w:hAnsi="Arial"/>
          <w:sz w:val="22"/>
          <w:szCs w:val="22"/>
        </w:rPr>
        <w:t xml:space="preserve">The system shall accept: capital (INR, &gt; 0), risk tolerance (Low / Medium / High), and investment time horizon as inputs for portfolio generation.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F14: </w:t>
      </w:r>
      <w:r>
        <w:rPr>
          <w:rFonts w:ascii="Arial" w:cs="Arial" w:eastAsia="Arial" w:hAnsi="Arial"/>
          <w:sz w:val="22"/>
          <w:szCs w:val="22"/>
        </w:rPr>
        <w:t xml:space="preserve">The system shall compute allocations using Markowitz Mean-Variance Optimization. Low → minimum variance; Medium → maximum Sharpe; High → maximum return.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F15: </w:t>
      </w:r>
      <w:r>
        <w:rPr>
          <w:rFonts w:ascii="Arial" w:cs="Arial" w:eastAsia="Arial" w:hAnsi="Arial"/>
          <w:sz w:val="22"/>
          <w:szCs w:val="22"/>
        </w:rPr>
        <w:t xml:space="preserve">The system shall output and persist percentage allocations across asset classes, estimated return (% p.a.), and estimated volatility (% p.a.), linked to the user's account.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F16: </w:t>
      </w:r>
      <w:r>
        <w:rPr>
          <w:rFonts w:ascii="Arial" w:cs="Arial" w:eastAsia="Arial" w:hAnsi="Arial"/>
          <w:sz w:val="22"/>
          <w:szCs w:val="22"/>
        </w:rPr>
        <w:t xml:space="preserve">The frontend shall render the portfolio as an interactive pie chart and a breakdown table showing asset name, ticker, allocation %, and INR amount.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3.2.5  User Management  [Koushik / Amogh]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F17: </w:t>
      </w:r>
      <w:r>
        <w:rPr>
          <w:rFonts w:ascii="Arial" w:cs="Arial" w:eastAsia="Arial" w:hAnsi="Arial"/>
          <w:sz w:val="22"/>
          <w:szCs w:val="22"/>
        </w:rPr>
        <w:t xml:space="preserve">The system shall support registration (email + password, min 8 chars, 1 uppercase, 1 number) and login via bcrypt-verified credentials issuing a 24-hour JWT.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F18: </w:t>
      </w:r>
      <w:r>
        <w:rPr>
          <w:rFonts w:ascii="Arial" w:cs="Arial" w:eastAsia="Arial" w:hAnsi="Arial"/>
          <w:sz w:val="22"/>
          <w:szCs w:val="22"/>
        </w:rPr>
        <w:t xml:space="preserve">Authenticated users shall be able to add and remove assets from a personal watchlist, persisted in the watchlist table across sessions.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 Use Case Model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Actors: Investor (authenticated user), Data Ingestion Service (automated), ML Model Engine (internal Python service).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4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UC1 — Compare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Venkat / Vivardhan (scoring); Vishwanath / Charan (UI)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an investor to compare 2+ assets using ML-computed suitability scores.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F10, F11, F12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authenticated. Metric data available in asset_metrics.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selects 2+ assets on Compare page.
2. System fetches metric data and computes normalized scores.
3. Comparison stored in asset_comparisons.
4. Frontend renders radar chart and metric table.
5. User optionally saves session.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with missing metrics is excluded with a warning; session continues for remaining assets.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displayed; saved session linked to user account if requested.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4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UC2 — Generate Portfolio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Venkat / Vivardhan (model); Amogh (DB)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Markowitz-optimized portfolio from user inputs.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F13, F14, F15, F16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authenticated. Asset price and metric data available.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submits capital, risk tolerance, time horizon.
2. System validates inputs.
3. Optimization engine computes allocations.
4. Results stored in portfolios and portfolio_assets.
5. Frontend renders pie chart and allocation table.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capital (≤ 0) shows field-level validation error; backend is not called.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stored and displayed with full INR breakdown.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4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UC3 — Manage Watchlist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Amogh (DB); Koushik (API)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users to track selected assets on a personal watchlist.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F17, F18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User searches for an asset.
2. Clicks 'Add to Watchlist'.
3. Record inserted into watchlist table.
4. Dashboard ticker bar updates on next load.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Flow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asset shows toast notification; no duplicate row inserted.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 persisted and visible on Dashboard.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  Non-Functional Requirements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 Performance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NF1: </w:t>
      </w:r>
      <w:r>
        <w:rPr>
          <w:rFonts w:ascii="Arial" w:cs="Arial" w:eastAsia="Arial" w:hAnsi="Arial"/>
          <w:sz w:val="22"/>
          <w:szCs w:val="22"/>
        </w:rPr>
        <w:t xml:space="preserve">API responses for pre-computed data shall return within 2 seconds under normal load (up to 50 concurrent users).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NF2: </w:t>
      </w:r>
      <w:r>
        <w:rPr>
          <w:rFonts w:ascii="Arial" w:cs="Arial" w:eastAsia="Arial" w:hAnsi="Arial"/>
          <w:sz w:val="22"/>
          <w:szCs w:val="22"/>
        </w:rPr>
        <w:t xml:space="preserve">LSTM inference for a single asset prediction shall complete within 5 seconds on the server.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NF3: </w:t>
      </w:r>
      <w:r>
        <w:rPr>
          <w:rFonts w:ascii="Arial" w:cs="Arial" w:eastAsia="Arial" w:hAnsi="Arial"/>
          <w:sz w:val="22"/>
          <w:szCs w:val="22"/>
        </w:rPr>
        <w:t xml:space="preserve">The frontend Dashboard shall load and render within 3 seconds on a 25 Mbps connection.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 Security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NF4: </w:t>
      </w:r>
      <w:r>
        <w:rPr>
          <w:rFonts w:ascii="Arial" w:cs="Arial" w:eastAsia="Arial" w:hAnsi="Arial"/>
          <w:sz w:val="22"/>
          <w:szCs w:val="22"/>
        </w:rPr>
        <w:t xml:space="preserve">User passwords shall be stored as bcrypt hashes (work factor ≥ 12). Plaintext passwords shall never be logged or persisted.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NF5: </w:t>
      </w:r>
      <w:r>
        <w:rPr>
          <w:rFonts w:ascii="Arial" w:cs="Arial" w:eastAsia="Arial" w:hAnsi="Arial"/>
          <w:sz w:val="22"/>
          <w:szCs w:val="22"/>
        </w:rPr>
        <w:t xml:space="preserve">All user-specific API endpoints shall require a valid, non-expired JWT (Authorization header). Unauthenticated requests receive 401.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NF6: </w:t>
      </w:r>
      <w:r>
        <w:rPr>
          <w:rFonts w:ascii="Arial" w:cs="Arial" w:eastAsia="Arial" w:hAnsi="Arial"/>
          <w:sz w:val="22"/>
          <w:szCs w:val="22"/>
        </w:rPr>
        <w:t xml:space="preserve">All user inputs shall be validated and sanitized server-side. Database queries shall use parameterized statements exclusively to prevent SQL injection.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 Software Quality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Maintainability: All helper functions and API handlers shall have JSDoc/docstring comments. Each subsystem shall have a README (due Week 6). All schema changes require a rollback migration script.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Reliability: The yfinance ingestion pipeline shall retry up to 3 times with exponential backoff on failure, logging error details (asset ID, error type, timestamp) on each attempt.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Usability: All charts shall include labeled axes (date, INR values), legends, and hover tooltips. Form fields shall show inline help text. Error messages shall be human-readable.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Portability: Deployable on any Linux server with PostgreSQL 16, Node.js 18+, and Python 3.9+. Frontend compatible with Chrome 110+, Firefox 110+, Safari 16+.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  Other Requirements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OR1: </w:t>
      </w:r>
      <w:r>
        <w:rPr>
          <w:rFonts w:ascii="Arial" w:cs="Arial" w:eastAsia="Arial" w:hAnsi="Arial"/>
          <w:sz w:val="22"/>
          <w:szCs w:val="22"/>
        </w:rPr>
        <w:t xml:space="preserve">Data Retention: Historical price data shall be retained for a minimum of 5 years per asset. First ingestion run shall fetch up to 10 years of history.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OR2: </w:t>
      </w:r>
      <w:r>
        <w:rPr>
          <w:rFonts w:ascii="Arial" w:cs="Arial" w:eastAsia="Arial" w:hAnsi="Arial"/>
          <w:sz w:val="22"/>
          <w:szCs w:val="22"/>
        </w:rPr>
        <w:t xml:space="preserve">Schema Migrations: All database schema changes shall be performed exclusively through node-pg-migrate migration files with both 'up' and 'down' scripts. Ad-hoc DDL on the database is not permitted.</w:t>
      </w:r>
    </w:p>
    <w:p>
      <w:pPr>
        <w:spacing w:before="6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OR3: </w:t>
      </w:r>
      <w:r>
        <w:rPr>
          <w:rFonts w:ascii="Arial" w:cs="Arial" w:eastAsia="Arial" w:hAnsi="Arial"/>
          <w:sz w:val="22"/>
          <w:szCs w:val="22"/>
        </w:rPr>
        <w:t xml:space="preserve">Subsystem Documentation: Each subsystem lead shall deliver a README (API, data format, setup, known limitations) to the project repository by end of Week 6.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A – Data Dictionary</w:t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VAKVIC PostgreSQL 16 database contains 9 tables. All monetary values are in INR. Core tables are detailed below; supporting tables are summarized.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A.1  assets  — master registry of all tracked 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unique identifier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ticker_symbol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ticker (e.g., RELIANCE.NS, NIFTYBEES.NS) — unique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asset_name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asset_class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Enumerated: stock | ETF | bond | commodity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 exchange (NSE, BSE)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INR for VAKVIC v1.0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A.2  asset_prices  — daily OHLCV records per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row identifier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assets.asset_id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date (YYYY-MM-DD)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high / low / close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price fields (INR)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shares/units traded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adjusted_close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Dividend/split-adjusted close (INR)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A.3  predictions  — LSTM model outputs per asset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row identifier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assets.asset_id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prediction_date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future date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predicted_close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LSTM-predicted closing price (INR)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confidence_lower / upper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DECIMAL(15,4)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confidence interval bounds (INR)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of model version used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computation time (UTC)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A.4 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asset_metrics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per-asset computed metrics: volatility, Sharpe ratio, trend strength, max drawdown, composite suitability score (0–100).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asset_comparisons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each comparison session: user_id (nullable), array of asset_ids compared, timestamp, saved flag.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portfolio optimizer runs: user_id, capital_inr, risk_tolerance, time_horizon, expected_return, expected_volatility.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portfolio_assets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Per-asset allocation rows linked to a portfolio: asset_id, allocation_pct, amount_inr.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accounts: email (unique), bcrypt password_hash, created_at, last_login, failed_attempts, locked_until.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watchlist entries: user_id, asset_id, added_at.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44444" w:sz="6" w:space="4"/>
        </w:pBdr>
        <w:spacing w:before="34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 B – Group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800"/>
        <w:gridCol w:w="3260"/>
      </w:tblGrid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Member(s)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kickoff &amp; role assignment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roles confirmed; VAKVIC name agreed.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Amogh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design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9-table PostgreSQL schema; data contracts defined.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Venkat &amp; Vivardhan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architecture planning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I/O format agreed; Keras/TF selected.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Amogh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implementation &amp; data seeding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live; yfinance pipeline ingested NIFTY 50 history.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Koushik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setup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project initialized; endpoint contracts defined.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Venkat &amp; Vivardhan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model development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prototype trained on RELIANCE.NS; output validated.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Vishwanath &amp; Charan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prototype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Compare, Portfolio shells built (VAKVIC.jsx).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planning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contracts reviewed; integration risks flagged.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documentation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 finalized and submitted.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VAKVIC | SE Capstone, Mahindra University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VAKVIC — Software Requirements Specification 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Mahindra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4444" w:sz="6" w:space="4"/>
      </w:pBdr>
      <w:spacing w:before="340" w:after="1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7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2026-03-13T06:54:44.961Z</dcterms:created>
  <dcterms:modified xsi:type="dcterms:W3CDTF">2026-03-13T06:54:44.961Z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