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Adjoining Works Protection and Dilapidation Reporting</w:t>
      </w:r>
    </w:p>
    <w:p>
      <w:pPr>
        <w:spacing w:after="260"/>
      </w:pPr>
      <w:r>
        <w:rPr>
          <w:rFonts w:ascii="Calibri" w:cs="Calibri" w:eastAsia="Calibri" w:hAnsi="Calibri"/>
          <w:color w:val="5A6472"/>
          <w:sz w:val="20"/>
          <w:szCs w:val="20"/>
        </w:rPr>
        <w:t xml:space="preserve">Service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https://buildinginspectionsnearme.com.au/adjoining-works-protection/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Service type</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Dilapidation survey and adjoining property protection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Primary keyword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dilapidation report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(page quotes on request)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"description": "Condition surveys, protection works assessment and construction monitoring for properties adjoining excavation, demolition or construction works. Documented before, during and after the works, so any damage claim is settled against an engineer-recorded baseline rather than recollection.",</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"alternateName": "Dilapidation report",</w:t>
      </w:r>
    </w:p>
    <w:p>
      <w:pPr>
        <w:shd w:fill="F4F6F8" w:color="auto" w:val="clear"/>
        <w:spacing w:after="0" w:before="0" w:line="240"/>
        <w:ind w:left="120" w:right="120"/>
      </w:pPr>
      <w:r>
        <w:rPr>
          <w:rFonts w:ascii="Consolas" w:cs="Consolas" w:eastAsia="Consolas" w:hAnsi="Consolas"/>
          <w:color w:val="1B2733"/>
          <w:sz w:val="14"/>
          <w:szCs w:val="14"/>
        </w:rPr>
        <w:t xml:space="preserve">      "serviceType": "Dilapidation survey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"Condition surveys, protection works assessment and construction monitoring for properties adjoining excavation, demolition or construction works. Documented before, during and after the works, so any damage claim is settled against an engineer-recorded baseline rather than recollection.",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"audience": {</w:t>
      </w:r>
    </w:p>
    <w:p>
      <w:pPr>
        <w:shd w:fill="F4F6F8" w:color="auto" w:val="clear"/>
        <w:spacing w:after="0" w:before="0" w:line="240"/>
        <w:ind w:left="120" w:right="120"/>
      </w:pPr>
      <w:r>
        <w:rPr>
          <w:rFonts w:ascii="Consolas" w:cs="Consolas" w:eastAsia="Consolas" w:hAnsi="Consolas"/>
          <w:color w:val="1B2733"/>
          <w:sz w:val="14"/>
          <w:szCs w:val="14"/>
        </w:rPr>
        <w:t xml:space="preserve">        "@type": "Audience",</w:t>
      </w:r>
    </w:p>
    <w:p>
      <w:pPr>
        <w:shd w:fill="F4F6F8" w:color="auto" w:val="clear"/>
        <w:spacing w:after="0" w:before="0" w:line="240"/>
        <w:ind w:left="120" w:right="120"/>
      </w:pPr>
      <w:r>
        <w:rPr>
          <w:rFonts w:ascii="Consolas" w:cs="Consolas" w:eastAsia="Consolas" w:hAnsi="Consolas"/>
          <w:color w:val="1B2733"/>
          <w:sz w:val="14"/>
          <w:szCs w:val="14"/>
        </w:rPr>
        <w:t xml:space="preserve">        "audienceType": "Owners and builders undertaking boundary-adjacent works, adjoining neighbours, and building surveyors"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"Pre-works and post-works dilapidation surveys, monitoring records and, where required, an engineering causation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 inclusions",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property condition (dilapidation) survey"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"Protection works assessment of proposed methodology, drawings, services and drainage"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"Protection works documentation support for permit and notice readiness"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"Construction monitoring, milestone-based or periodic"</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"Crack monitoring using tell-tales"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"Level survey and contour baseline with repeat surveys"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"Instrumentation coordination"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"Post-works comparison condition survey"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"Damage triage and make-safe advice"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"Engineering inspection and causation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"name": "VCAT-compliant expert report"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"isRelatedTo":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What this markup says</w:t>
      </w:r>
    </w:p>
    <w:p>
      <w:pPr>
        <w:spacing w:after="160"/>
      </w:pPr>
      <w:r>
        <w:rPr>
          <w:rFonts w:ascii="Calibri" w:cs="Calibri" w:eastAsia="Calibri" w:hAnsi="Calibri"/>
          <w:b w:val="false"/>
          <w:bCs w:val="false"/>
          <w:i w:val="false"/>
          <w:iCs w:val="false"/>
          <w:color w:val="222222"/>
          <w:sz w:val="21"/>
          <w:szCs w:val="21"/>
        </w:rPr>
        <w:t xml:space="preserve">Condition surveys, protection works assessment and construction monitoring for properties adjoining excavation, demolition or construction works. Documented before, during and after the works, so any damage claim is settled against an engineer-recorded baseline rather than recollection.</w:t>
      </w:r>
    </w:p>
    <w:p>
      <w:pPr>
        <w:spacing w:after="160"/>
      </w:pPr>
      <w:r>
        <w:rPr>
          <w:rFonts w:ascii="Calibri" w:cs="Calibri" w:eastAsia="Calibri" w:hAnsi="Calibri"/>
          <w:b w:val="false"/>
          <w:bCs w:val="false"/>
          <w:i w:val="false"/>
          <w:iCs w:val="false"/>
          <w:color w:val="222222"/>
          <w:sz w:val="21"/>
          <w:szCs w:val="21"/>
        </w:rPr>
        <w:t xml:space="preserve">Report delivered: Pre-works and post-works dilapidation surveys, monitoring records and, where required, an engineering causation report.</w:t>
      </w:r>
    </w:p>
    <w:p>
      <w:pPr>
        <w:spacing w:after="160"/>
      </w:pPr>
      <w:r>
        <w:rPr>
          <w:rFonts w:ascii="Calibri" w:cs="Calibri" w:eastAsia="Calibri" w:hAnsi="Calibri"/>
          <w:b w:val="false"/>
          <w:bCs w:val="false"/>
          <w:i w:val="false"/>
          <w:iCs w:val="false"/>
          <w:color w:val="222222"/>
          <w:sz w:val="21"/>
          <w:szCs w:val="21"/>
        </w:rPr>
        <w:t xml:space="preserve">Intended audience: Owners and builders undertaking boundary-adjacent works, adjoining neighbours, and building surveyors</w:t>
      </w:r>
    </w:p>
    <w:p>
      <w:pPr>
        <w:pStyle w:val="Heading2"/>
        <w:pBdr>
          <w:bottom w:val="single" w:color="D6DCE4" w:sz="6" w:space="6"/>
        </w:pBdr>
        <w:spacing w:after="140" w:before="320"/>
      </w:pPr>
      <w:r>
        <w:rPr>
          <w:rFonts w:ascii="Calibri" w:cs="Calibri" w:eastAsia="Calibri" w:hAnsi="Calibri"/>
          <w:b/>
          <w:bCs/>
          <w:color w:val="0B2C5A"/>
          <w:sz w:val="25"/>
          <w:szCs w:val="25"/>
        </w:rPr>
        <w:t xml:space="preserve">Inclusions listed in the markup</w:t>
      </w:r>
    </w:p>
    <w:p>
      <w:pPr>
        <w:spacing w:after="160"/>
      </w:pPr>
      <w:r>
        <w:rPr>
          <w:rFonts w:ascii="Calibri" w:cs="Calibri" w:eastAsia="Calibri" w:hAnsi="Calibri"/>
          <w:b w:val="false"/>
          <w:bCs w:val="false"/>
          <w:i w:val="false"/>
          <w:iCs w:val="false"/>
          <w:color w:val="5A6472"/>
          <w:sz w:val="21"/>
          <w:szCs w:val="21"/>
        </w:rPr>
        <w:t xml:space="preserve">These appear as the page's OfferCatalog. They should match the inclusions published on the page.</w:t>
      </w:r>
    </w:p>
    <w:p>
      <w:pPr>
        <w:pStyle w:val="ListParagraph"/>
        <w:numPr>
          <w:ilvl w:val="0"/>
          <w:numId w:val="1"/>
        </w:numPr>
        <w:spacing w:after="90"/>
      </w:pPr>
      <w:r>
        <w:rPr>
          <w:rFonts w:ascii="Calibri" w:cs="Calibri" w:eastAsia="Calibri" w:hAnsi="Calibri"/>
          <w:color w:val="222222"/>
          <w:sz w:val="21"/>
          <w:szCs w:val="21"/>
        </w:rPr>
        <w:t xml:space="preserve">Adjoining property condition (dilapidation) survey</w:t>
      </w:r>
    </w:p>
    <w:p>
      <w:pPr>
        <w:pStyle w:val="ListParagraph"/>
        <w:numPr>
          <w:ilvl w:val="0"/>
          <w:numId w:val="1"/>
        </w:numPr>
        <w:spacing w:after="90"/>
      </w:pPr>
      <w:r>
        <w:rPr>
          <w:rFonts w:ascii="Calibri" w:cs="Calibri" w:eastAsia="Calibri" w:hAnsi="Calibri"/>
          <w:color w:val="222222"/>
          <w:sz w:val="21"/>
          <w:szCs w:val="21"/>
        </w:rPr>
        <w:t xml:space="preserve">Protection works assessment of proposed methodology, drawings, services and drainage</w:t>
      </w:r>
    </w:p>
    <w:p>
      <w:pPr>
        <w:pStyle w:val="ListParagraph"/>
        <w:numPr>
          <w:ilvl w:val="0"/>
          <w:numId w:val="1"/>
        </w:numPr>
        <w:spacing w:after="90"/>
      </w:pPr>
      <w:r>
        <w:rPr>
          <w:rFonts w:ascii="Calibri" w:cs="Calibri" w:eastAsia="Calibri" w:hAnsi="Calibri"/>
          <w:color w:val="222222"/>
          <w:sz w:val="21"/>
          <w:szCs w:val="21"/>
        </w:rPr>
        <w:t xml:space="preserve">Protection works documentation support for permit and notice readiness</w:t>
      </w:r>
    </w:p>
    <w:p>
      <w:pPr>
        <w:pStyle w:val="ListParagraph"/>
        <w:numPr>
          <w:ilvl w:val="0"/>
          <w:numId w:val="1"/>
        </w:numPr>
        <w:spacing w:after="90"/>
      </w:pPr>
      <w:r>
        <w:rPr>
          <w:rFonts w:ascii="Calibri" w:cs="Calibri" w:eastAsia="Calibri" w:hAnsi="Calibri"/>
          <w:color w:val="222222"/>
          <w:sz w:val="21"/>
          <w:szCs w:val="21"/>
        </w:rPr>
        <w:t xml:space="preserve">Construction monitoring, milestone-based or periodic</w:t>
      </w:r>
    </w:p>
    <w:p>
      <w:pPr>
        <w:pStyle w:val="ListParagraph"/>
        <w:numPr>
          <w:ilvl w:val="0"/>
          <w:numId w:val="1"/>
        </w:numPr>
        <w:spacing w:after="90"/>
      </w:pPr>
      <w:r>
        <w:rPr>
          <w:rFonts w:ascii="Calibri" w:cs="Calibri" w:eastAsia="Calibri" w:hAnsi="Calibri"/>
          <w:color w:val="222222"/>
          <w:sz w:val="21"/>
          <w:szCs w:val="21"/>
        </w:rPr>
        <w:t xml:space="preserve">Crack monitoring using tell-tales</w:t>
      </w:r>
    </w:p>
    <w:p>
      <w:pPr>
        <w:pStyle w:val="ListParagraph"/>
        <w:numPr>
          <w:ilvl w:val="0"/>
          <w:numId w:val="1"/>
        </w:numPr>
        <w:spacing w:after="90"/>
      </w:pPr>
      <w:r>
        <w:rPr>
          <w:rFonts w:ascii="Calibri" w:cs="Calibri" w:eastAsia="Calibri" w:hAnsi="Calibri"/>
          <w:color w:val="222222"/>
          <w:sz w:val="21"/>
          <w:szCs w:val="21"/>
        </w:rPr>
        <w:t xml:space="preserve">Level survey and contour baseline with repeat surveys</w:t>
      </w:r>
    </w:p>
    <w:p>
      <w:pPr>
        <w:pStyle w:val="ListParagraph"/>
        <w:numPr>
          <w:ilvl w:val="0"/>
          <w:numId w:val="1"/>
        </w:numPr>
        <w:spacing w:after="90"/>
      </w:pPr>
      <w:r>
        <w:rPr>
          <w:rFonts w:ascii="Calibri" w:cs="Calibri" w:eastAsia="Calibri" w:hAnsi="Calibri"/>
          <w:color w:val="222222"/>
          <w:sz w:val="21"/>
          <w:szCs w:val="21"/>
        </w:rPr>
        <w:t xml:space="preserve">Instrumentation coordination</w:t>
      </w:r>
    </w:p>
    <w:p>
      <w:pPr>
        <w:pStyle w:val="ListParagraph"/>
        <w:numPr>
          <w:ilvl w:val="0"/>
          <w:numId w:val="1"/>
        </w:numPr>
        <w:spacing w:after="90"/>
      </w:pPr>
      <w:r>
        <w:rPr>
          <w:rFonts w:ascii="Calibri" w:cs="Calibri" w:eastAsia="Calibri" w:hAnsi="Calibri"/>
          <w:color w:val="222222"/>
          <w:sz w:val="21"/>
          <w:szCs w:val="21"/>
        </w:rPr>
        <w:t xml:space="preserve">Post-works comparison condition survey</w:t>
      </w:r>
    </w:p>
    <w:p>
      <w:pPr>
        <w:pStyle w:val="ListParagraph"/>
        <w:numPr>
          <w:ilvl w:val="0"/>
          <w:numId w:val="1"/>
        </w:numPr>
        <w:spacing w:after="90"/>
      </w:pPr>
      <w:r>
        <w:rPr>
          <w:rFonts w:ascii="Calibri" w:cs="Calibri" w:eastAsia="Calibri" w:hAnsi="Calibri"/>
          <w:color w:val="222222"/>
          <w:sz w:val="21"/>
          <w:szCs w:val="21"/>
        </w:rPr>
        <w:t xml:space="preserve">Damage triage and make-safe advice</w:t>
      </w:r>
    </w:p>
    <w:p>
      <w:pPr>
        <w:pStyle w:val="ListParagraph"/>
        <w:numPr>
          <w:ilvl w:val="0"/>
          <w:numId w:val="1"/>
        </w:numPr>
        <w:spacing w:after="90"/>
      </w:pPr>
      <w:r>
        <w:rPr>
          <w:rFonts w:ascii="Calibri" w:cs="Calibri" w:eastAsia="Calibri" w:hAnsi="Calibri"/>
          <w:color w:val="222222"/>
          <w:sz w:val="21"/>
          <w:szCs w:val="21"/>
        </w:rPr>
        <w:t xml:space="preserve">Engineering inspection and causation report</w:t>
      </w:r>
    </w:p>
    <w:p>
      <w:pPr>
        <w:pStyle w:val="ListParagraph"/>
        <w:numPr>
          <w:ilvl w:val="0"/>
          <w:numId w:val="1"/>
        </w:numPr>
        <w:spacing w:after="90"/>
      </w:pPr>
      <w:r>
        <w:rPr>
          <w:rFonts w:ascii="Calibri" w:cs="Calibri" w:eastAsia="Calibri" w:hAnsi="Calibri"/>
          <w:color w:val="222222"/>
          <w:sz w:val="21"/>
          <w:szCs w:val="21"/>
        </w:rPr>
        <w:t xml:space="preserve">VCAT-compliant expert report</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The sitewide block (see _sitewide-business.docx) must also be present on this page. This page's Service node references it by @id, so the two work together.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BreadcrumbList and an Organization at #organization. In that case delete the WebPage and BreadcrumbList nodes from this block and keep only the Service node; its provider already points at #organization.</w:t>
      </w:r>
    </w:p>
    <w:p>
      <w:pPr>
        <w:pStyle w:val="ListParagraph"/>
        <w:numPr>
          <w:ilvl w:val="0"/>
          <w:numId w:val="1"/>
        </w:numPr>
        <w:spacing w:after="90"/>
      </w:pPr>
      <w:r>
        <w:rPr>
          <w:rFonts w:ascii="Calibri" w:cs="Calibri" w:eastAsia="Calibri" w:hAnsi="Calibri"/>
          <w:color w:val="222222"/>
          <w:sz w:val="21"/>
          <w:szCs w:val="21"/>
        </w:rPr>
        <w:t xml:space="preserve">Do not ship two of the same node type on one page. If the theme or plugin already outputs BreadcrumbList, drop the one here.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2026-08-10T08:16:07.012Z</dcterms:created>
  <dcterms:modified xsi:type="dcterms:W3CDTF">2026-08-10T08:16:07.012Z</dcterms:modified>
</cp:coreProperties>
</file>

<file path=docProps/custom.xml><?xml version="1.0" encoding="utf-8"?>
<Properties xmlns="http://schemas.openxmlformats.org/officeDocument/2006/custom-properties" xmlns:vt="http://schemas.openxmlformats.org/officeDocument/2006/docPropsVTypes"/>
</file>