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and Pest Inspection</w:t>
      </w:r>
    </w:p>
    <w:p>
      <w:pPr>
        <w:spacing w:after="260"/>
      </w:pPr>
      <w:r>
        <w:rPr>
          <w:rFonts w:ascii="Calibri" w:cs="Calibri" w:eastAsia="Calibri" w:hAnsi="Calibri"/>
          <w:color w:val="5A6472"/>
          <w:sz w:val="20"/>
          <w:szCs w:val="20"/>
        </w:rPr>
        <w:t xml:space="preserve">Service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https://buildinginspectionsnearme.com.au/building-and-pest-inspections/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Service type</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Building and timber pest inspection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Primary keyword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building and pest inspection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(page quotes on request)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"Combined building and timber pest inspection reported against AS 4349.1 and AS 4349.3, two separate standards with separate scopes. Covers building defects alongside termite activity, timber pest damage and the conditions conducive to attack, in one engineer-led visit.",</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"alternateName": "Building and termite inspection",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and timber pest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"Combined building and timber pest inspection reported against AS 4349.1 and AS 4349.3, two separate standards with separate scopes. Covers building defects alongside termite activity, timber pest damage and the conditions conducive to attack, in one engineer-led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"audience": {</w:t>
      </w:r>
    </w:p>
    <w:p>
      <w:pPr>
        <w:shd w:fill="F4F6F8" w:color="auto" w:val="clear"/>
        <w:spacing w:after="0" w:before="0" w:line="240"/>
        <w:ind w:left="120" w:right="120"/>
      </w:pPr>
      <w:r>
        <w:rPr>
          <w:rFonts w:ascii="Consolas" w:cs="Consolas" w:eastAsia="Consolas" w:hAnsi="Consolas"/>
          <w:color w:val="1B2733"/>
          <w:sz w:val="14"/>
          <w:szCs w:val="14"/>
        </w:rPr>
        <w:t xml:space="preserve">        "@type": "Audience",</w:t>
      </w:r>
    </w:p>
    <w:p>
      <w:pPr>
        <w:shd w:fill="F4F6F8" w:color="auto" w:val="clear"/>
        <w:spacing w:after="0" w:before="0" w:line="240"/>
        <w:ind w:left="120" w:right="120"/>
      </w:pPr>
      <w:r>
        <w:rPr>
          <w:rFonts w:ascii="Consolas" w:cs="Consolas" w:eastAsia="Consolas" w:hAnsi="Consolas"/>
          <w:color w:val="1B2733"/>
          <w:sz w:val="14"/>
          <w:szCs w:val="14"/>
        </w:rPr>
        <w:t xml:space="preserve">        "audienceType": "Home buyers, owners and property investors"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"Combined building and timber pest report addressing AS 4349.1 and AS 4349.3."</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 inclusions",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"Standard building inspection to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"Timber pest inspection to AS 4349.3"</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"Termite activity and timber pest damage detection"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"Moisture 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"Conducive conditions reporting"</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"Treatment and management recommendations"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"name": "Single combined written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"isRelatedTo":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What this markup says</w:t>
      </w:r>
    </w:p>
    <w:p>
      <w:pPr>
        <w:spacing w:after="160"/>
      </w:pPr>
      <w:r>
        <w:rPr>
          <w:rFonts w:ascii="Calibri" w:cs="Calibri" w:eastAsia="Calibri" w:hAnsi="Calibri"/>
          <w:b w:val="false"/>
          <w:bCs w:val="false"/>
          <w:i w:val="false"/>
          <w:iCs w:val="false"/>
          <w:color w:val="222222"/>
          <w:sz w:val="21"/>
          <w:szCs w:val="21"/>
        </w:rPr>
        <w:t xml:space="preserve">Combined building and timber pest inspection reported against AS 4349.1 and AS 4349.3, two separate standards with separate scopes. Covers building defects alongside termite activity, timber pest damage and the conditions conducive to attack, in one engineer-led visit.</w:t>
      </w:r>
    </w:p>
    <w:p>
      <w:pPr>
        <w:spacing w:after="160"/>
      </w:pPr>
      <w:r>
        <w:rPr>
          <w:rFonts w:ascii="Calibri" w:cs="Calibri" w:eastAsia="Calibri" w:hAnsi="Calibri"/>
          <w:b w:val="false"/>
          <w:bCs w:val="false"/>
          <w:i w:val="false"/>
          <w:iCs w:val="false"/>
          <w:color w:val="222222"/>
          <w:sz w:val="21"/>
          <w:szCs w:val="21"/>
        </w:rPr>
        <w:t xml:space="preserve">Report delivered: Combined building and timber pest report addressing AS 4349.1 and AS 4349.3.</w:t>
      </w:r>
    </w:p>
    <w:p>
      <w:pPr>
        <w:spacing w:after="160"/>
      </w:pPr>
      <w:r>
        <w:rPr>
          <w:rFonts w:ascii="Calibri" w:cs="Calibri" w:eastAsia="Calibri" w:hAnsi="Calibri"/>
          <w:b w:val="false"/>
          <w:bCs w:val="false"/>
          <w:i w:val="false"/>
          <w:iCs w:val="false"/>
          <w:color w:val="222222"/>
          <w:sz w:val="21"/>
          <w:szCs w:val="21"/>
        </w:rPr>
        <w:t xml:space="preserve">Intended audience: Home buyers, owners and property investors</w:t>
      </w:r>
    </w:p>
    <w:p>
      <w:pPr>
        <w:pStyle w:val="Heading2"/>
        <w:pBdr>
          <w:bottom w:val="single" w:color="D6DCE4" w:sz="6" w:space="6"/>
        </w:pBdr>
        <w:spacing w:after="140" w:before="320"/>
      </w:pPr>
      <w:r>
        <w:rPr>
          <w:rFonts w:ascii="Calibri" w:cs="Calibri" w:eastAsia="Calibri" w:hAnsi="Calibri"/>
          <w:b/>
          <w:bCs/>
          <w:color w:val="0B2C5A"/>
          <w:sz w:val="25"/>
          <w:szCs w:val="25"/>
        </w:rPr>
        <w:t xml:space="preserve">Inclusions listed in the markup</w:t>
      </w:r>
    </w:p>
    <w:p>
      <w:pPr>
        <w:spacing w:after="160"/>
      </w:pPr>
      <w:r>
        <w:rPr>
          <w:rFonts w:ascii="Calibri" w:cs="Calibri" w:eastAsia="Calibri" w:hAnsi="Calibri"/>
          <w:b w:val="false"/>
          <w:bCs w:val="false"/>
          <w:i w:val="false"/>
          <w:iCs w:val="false"/>
          <w:color w:val="5A6472"/>
          <w:sz w:val="21"/>
          <w:szCs w:val="21"/>
        </w:rPr>
        <w:t xml:space="preserve">These appear as the page's OfferCatalog. They should match the inclusions published on the page.</w:t>
      </w:r>
    </w:p>
    <w:p>
      <w:pPr>
        <w:pStyle w:val="ListParagraph"/>
        <w:numPr>
          <w:ilvl w:val="0"/>
          <w:numId w:val="1"/>
        </w:numPr>
        <w:spacing w:after="90"/>
      </w:pPr>
      <w:r>
        <w:rPr>
          <w:rFonts w:ascii="Calibri" w:cs="Calibri" w:eastAsia="Calibri" w:hAnsi="Calibri"/>
          <w:color w:val="222222"/>
          <w:sz w:val="21"/>
          <w:szCs w:val="21"/>
        </w:rPr>
        <w:t xml:space="preserve">Standard building inspection to AS 4349.1</w:t>
      </w:r>
    </w:p>
    <w:p>
      <w:pPr>
        <w:pStyle w:val="ListParagraph"/>
        <w:numPr>
          <w:ilvl w:val="0"/>
          <w:numId w:val="1"/>
        </w:numPr>
        <w:spacing w:after="90"/>
      </w:pPr>
      <w:r>
        <w:rPr>
          <w:rFonts w:ascii="Calibri" w:cs="Calibri" w:eastAsia="Calibri" w:hAnsi="Calibri"/>
          <w:color w:val="222222"/>
          <w:sz w:val="21"/>
          <w:szCs w:val="21"/>
        </w:rPr>
        <w:t xml:space="preserve">Timber pest inspection to AS 4349.3</w:t>
      </w:r>
    </w:p>
    <w:p>
      <w:pPr>
        <w:pStyle w:val="ListParagraph"/>
        <w:numPr>
          <w:ilvl w:val="0"/>
          <w:numId w:val="1"/>
        </w:numPr>
        <w:spacing w:after="90"/>
      </w:pPr>
      <w:r>
        <w:rPr>
          <w:rFonts w:ascii="Calibri" w:cs="Calibri" w:eastAsia="Calibri" w:hAnsi="Calibri"/>
          <w:color w:val="222222"/>
          <w:sz w:val="21"/>
          <w:szCs w:val="21"/>
        </w:rPr>
        <w:t xml:space="preserve">Termite activity and timber pest damage detection</w:t>
      </w:r>
    </w:p>
    <w:p>
      <w:pPr>
        <w:pStyle w:val="ListParagraph"/>
        <w:numPr>
          <w:ilvl w:val="0"/>
          <w:numId w:val="1"/>
        </w:numPr>
        <w:spacing w:after="90"/>
      </w:pPr>
      <w:r>
        <w:rPr>
          <w:rFonts w:ascii="Calibri" w:cs="Calibri" w:eastAsia="Calibri" w:hAnsi="Calibri"/>
          <w:color w:val="222222"/>
          <w:sz w:val="21"/>
          <w:szCs w:val="21"/>
        </w:rPr>
        <w:t xml:space="preserve">Moisture assessment</w:t>
      </w:r>
    </w:p>
    <w:p>
      <w:pPr>
        <w:pStyle w:val="ListParagraph"/>
        <w:numPr>
          <w:ilvl w:val="0"/>
          <w:numId w:val="1"/>
        </w:numPr>
        <w:spacing w:after="90"/>
      </w:pPr>
      <w:r>
        <w:rPr>
          <w:rFonts w:ascii="Calibri" w:cs="Calibri" w:eastAsia="Calibri" w:hAnsi="Calibri"/>
          <w:color w:val="222222"/>
          <w:sz w:val="21"/>
          <w:szCs w:val="21"/>
        </w:rPr>
        <w:t xml:space="preserve">Conducive conditions reporting</w:t>
      </w:r>
    </w:p>
    <w:p>
      <w:pPr>
        <w:pStyle w:val="ListParagraph"/>
        <w:numPr>
          <w:ilvl w:val="0"/>
          <w:numId w:val="1"/>
        </w:numPr>
        <w:spacing w:after="90"/>
      </w:pPr>
      <w:r>
        <w:rPr>
          <w:rFonts w:ascii="Calibri" w:cs="Calibri" w:eastAsia="Calibri" w:hAnsi="Calibri"/>
          <w:color w:val="222222"/>
          <w:sz w:val="21"/>
          <w:szCs w:val="21"/>
        </w:rPr>
        <w:t xml:space="preserve">Treatment and management recommendations</w:t>
      </w:r>
    </w:p>
    <w:p>
      <w:pPr>
        <w:pStyle w:val="ListParagraph"/>
        <w:numPr>
          <w:ilvl w:val="0"/>
          <w:numId w:val="1"/>
        </w:numPr>
        <w:spacing w:after="90"/>
      </w:pPr>
      <w:r>
        <w:rPr>
          <w:rFonts w:ascii="Calibri" w:cs="Calibri" w:eastAsia="Calibri" w:hAnsi="Calibri"/>
          <w:color w:val="222222"/>
          <w:sz w:val="21"/>
          <w:szCs w:val="21"/>
        </w:rPr>
        <w:t xml:space="preserve">Single combined written report</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The sitewide block (see _sitewide-business.docx) must also be present on this page. This page's Service node references it by @id, so the two work together.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BreadcrumbList and an Organization at #organization. In that case delete the WebPage and BreadcrumbList nodes from this block and keep only the Service node; its provider already points at #organization.</w:t>
      </w:r>
    </w:p>
    <w:p>
      <w:pPr>
        <w:pStyle w:val="ListParagraph"/>
        <w:numPr>
          <w:ilvl w:val="0"/>
          <w:numId w:val="1"/>
        </w:numPr>
        <w:spacing w:after="90"/>
      </w:pPr>
      <w:r>
        <w:rPr>
          <w:rFonts w:ascii="Calibri" w:cs="Calibri" w:eastAsia="Calibri" w:hAnsi="Calibri"/>
          <w:color w:val="222222"/>
          <w:sz w:val="21"/>
          <w:szCs w:val="21"/>
        </w:rPr>
        <w:t xml:space="preserve">Do not ship two of the same node type on one page. If the theme or plugin already outputs BreadcrumbList, drop the one here.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2026-08-10T08:16:07.040Z</dcterms:created>
  <dcterms:modified xsi:type="dcterms:W3CDTF">2026-08-10T08:16:07.040Z</dcterms:modified>
</cp:coreProperties>
</file>

<file path=docProps/custom.xml><?xml version="1.0" encoding="utf-8"?>
<Properties xmlns="http://schemas.openxmlformats.org/officeDocument/2006/custom-properties" xmlns:vt="http://schemas.openxmlformats.org/officeDocument/2006/docPropsVTypes"/>
</file>