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Commercial Building Inspection</w:t>
      </w:r>
    </w:p>
    <w:p>
      <w:pPr>
        <w:spacing w:after="260"/>
      </w:pPr>
      <w:r>
        <w:rPr>
          <w:rFonts w:ascii="Calibri" w:cs="Calibri" w:eastAsia="Calibri" w:hAnsi="Calibri"/>
          <w:color w:val="5A6472"/>
          <w:sz w:val="20"/>
          <w:szCs w:val="20"/>
        </w:rPr>
        <w:t xml:space="preserve">Service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https://buildinginspectionsnearme.com.au/commercial-building-inspections/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Service type</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Commercial building inspection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Primary keyword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commercial building inspection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(page quotes on request)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inspections of commercial, industrial and retail property for purchasers, tenants, landlords and asset owners. Covers building condition, structural assessment, defect identification and retrospective compliance against the National Construction Code and relevant Australian Standards.",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"alternateName": "Commercial property inspection",</w:t>
      </w:r>
    </w:p>
    <w:p>
      <w:pPr>
        <w:shd w:fill="F4F6F8" w:color="auto" w:val="clear"/>
        <w:spacing w:after="0" w:before="0" w:line="240"/>
        <w:ind w:left="120" w:right="120"/>
      </w:pPr>
      <w:r>
        <w:rPr>
          <w:rFonts w:ascii="Consolas" w:cs="Consolas" w:eastAsia="Consolas" w:hAnsi="Consolas"/>
          <w:color w:val="1B2733"/>
          <w:sz w:val="14"/>
          <w:szCs w:val="14"/>
        </w:rPr>
        <w:t xml:space="preserve">      "serviceType":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inspections of commercial, industrial and retail property for purchasers, tenants, landlords and asset owners. Covers building condition, structural assessment, defect identification and retrospective compliance against the National Construction Code and relevant Australian Standards.",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"audience": {</w:t>
      </w:r>
    </w:p>
    <w:p>
      <w:pPr>
        <w:shd w:fill="F4F6F8" w:color="auto" w:val="clear"/>
        <w:spacing w:after="0" w:before="0" w:line="240"/>
        <w:ind w:left="120" w:right="120"/>
      </w:pPr>
      <w:r>
        <w:rPr>
          <w:rFonts w:ascii="Consolas" w:cs="Consolas" w:eastAsia="Consolas" w:hAnsi="Consolas"/>
          <w:color w:val="1B2733"/>
          <w:sz w:val="14"/>
          <w:szCs w:val="14"/>
        </w:rPr>
        <w:t xml:space="preserve">        "@type": "Audience",</w:t>
      </w:r>
    </w:p>
    <w:p>
      <w:pPr>
        <w:shd w:fill="F4F6F8" w:color="auto" w:val="clear"/>
        <w:spacing w:after="0" w:before="0" w:line="240"/>
        <w:ind w:left="120" w:right="120"/>
      </w:pPr>
      <w:r>
        <w:rPr>
          <w:rFonts w:ascii="Consolas" w:cs="Consolas" w:eastAsia="Consolas" w:hAnsi="Consolas"/>
          <w:color w:val="1B2733"/>
          <w:sz w:val="14"/>
          <w:szCs w:val="14"/>
        </w:rPr>
        <w:t xml:space="preserve">        "audienceType": "Commercial purchasers, tenants, landlords and asset managers"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condition and defect report, with engineering assessment where structural issues are identified."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"https://buildinginspectionsnearme.com.au/commercial-building-inspections/#offer-catalog",</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 inclusions",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"Pre-lease and make-good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condition and defect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"Structural and building fabric 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"Roof, facade and external envelope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"Retrospective compliance assessment against the National Construction Code"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"Maintenance and capital expenditure planning input"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"Industrial and retail premises 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"isRelatedTo":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What this markup says</w:t>
      </w:r>
    </w:p>
    <w:p>
      <w:pPr>
        <w:spacing w:after="160"/>
      </w:pPr>
      <w:r>
        <w:rPr>
          <w:rFonts w:ascii="Calibri" w:cs="Calibri" w:eastAsia="Calibri" w:hAnsi="Calibri"/>
          <w:b w:val="false"/>
          <w:bCs w:val="false"/>
          <w:i w:val="false"/>
          <w:iCs w:val="false"/>
          <w:color w:val="222222"/>
          <w:sz w:val="21"/>
          <w:szCs w:val="21"/>
        </w:rPr>
        <w:t xml:space="preserve">Engineer-led inspections of commercial, industrial and retail property for purchasers, tenants, landlords and asset owners. Covers building condition, structural assessment, defect identification and retrospective compliance against the National Construction Code and relevant Australian Standards.</w:t>
      </w:r>
    </w:p>
    <w:p>
      <w:pPr>
        <w:spacing w:after="160"/>
      </w:pPr>
      <w:r>
        <w:rPr>
          <w:rFonts w:ascii="Calibri" w:cs="Calibri" w:eastAsia="Calibri" w:hAnsi="Calibri"/>
          <w:b w:val="false"/>
          <w:bCs w:val="false"/>
          <w:i w:val="false"/>
          <w:iCs w:val="false"/>
          <w:color w:val="222222"/>
          <w:sz w:val="21"/>
          <w:szCs w:val="21"/>
        </w:rPr>
        <w:t xml:space="preserve">Report delivered: Commercial building condition and defect report, with engineering assessment where structural issues are identified.</w:t>
      </w:r>
    </w:p>
    <w:p>
      <w:pPr>
        <w:spacing w:after="160"/>
      </w:pPr>
      <w:r>
        <w:rPr>
          <w:rFonts w:ascii="Calibri" w:cs="Calibri" w:eastAsia="Calibri" w:hAnsi="Calibri"/>
          <w:b w:val="false"/>
          <w:bCs w:val="false"/>
          <w:i w:val="false"/>
          <w:iCs w:val="false"/>
          <w:color w:val="222222"/>
          <w:sz w:val="21"/>
          <w:szCs w:val="21"/>
        </w:rPr>
        <w:t xml:space="preserve">Intended audience: Commercial purchasers, tenants, landlords and asset managers</w:t>
      </w:r>
    </w:p>
    <w:p>
      <w:pPr>
        <w:pStyle w:val="Heading2"/>
        <w:pBdr>
          <w:bottom w:val="single" w:color="D6DCE4" w:sz="6" w:space="6"/>
        </w:pBdr>
        <w:spacing w:after="140" w:before="320"/>
      </w:pPr>
      <w:r>
        <w:rPr>
          <w:rFonts w:ascii="Calibri" w:cs="Calibri" w:eastAsia="Calibri" w:hAnsi="Calibri"/>
          <w:b/>
          <w:bCs/>
          <w:color w:val="0B2C5A"/>
          <w:sz w:val="25"/>
          <w:szCs w:val="25"/>
        </w:rPr>
        <w:t xml:space="preserve">Inclusions listed in the markup</w:t>
      </w:r>
    </w:p>
    <w:p>
      <w:pPr>
        <w:spacing w:after="160"/>
      </w:pPr>
      <w:r>
        <w:rPr>
          <w:rFonts w:ascii="Calibri" w:cs="Calibri" w:eastAsia="Calibri" w:hAnsi="Calibri"/>
          <w:b w:val="false"/>
          <w:bCs w:val="false"/>
          <w:i w:val="false"/>
          <w:iCs w:val="false"/>
          <w:color w:val="5A6472"/>
          <w:sz w:val="21"/>
          <w:szCs w:val="21"/>
        </w:rPr>
        <w:t xml:space="preserve">These appear as the page's OfferCatalog. They should match the inclusions published on the page.</w:t>
      </w:r>
    </w:p>
    <w:p>
      <w:pPr>
        <w:pStyle w:val="ListParagraph"/>
        <w:numPr>
          <w:ilvl w:val="0"/>
          <w:numId w:val="1"/>
        </w:numPr>
        <w:spacing w:after="90"/>
      </w:pPr>
      <w:r>
        <w:rPr>
          <w:rFonts w:ascii="Calibri" w:cs="Calibri" w:eastAsia="Calibri" w:hAnsi="Calibri"/>
          <w:color w:val="222222"/>
          <w:sz w:val="21"/>
          <w:szCs w:val="21"/>
        </w:rPr>
        <w:t xml:space="preserve">Pre-purchase commercial building inspection</w:t>
      </w:r>
    </w:p>
    <w:p>
      <w:pPr>
        <w:pStyle w:val="ListParagraph"/>
        <w:numPr>
          <w:ilvl w:val="0"/>
          <w:numId w:val="1"/>
        </w:numPr>
        <w:spacing w:after="90"/>
      </w:pPr>
      <w:r>
        <w:rPr>
          <w:rFonts w:ascii="Calibri" w:cs="Calibri" w:eastAsia="Calibri" w:hAnsi="Calibri"/>
          <w:color w:val="222222"/>
          <w:sz w:val="21"/>
          <w:szCs w:val="21"/>
        </w:rPr>
        <w:t xml:space="preserve">Pre-lease and make-good inspection</w:t>
      </w:r>
    </w:p>
    <w:p>
      <w:pPr>
        <w:pStyle w:val="ListParagraph"/>
        <w:numPr>
          <w:ilvl w:val="0"/>
          <w:numId w:val="1"/>
        </w:numPr>
        <w:spacing w:after="90"/>
      </w:pPr>
      <w:r>
        <w:rPr>
          <w:rFonts w:ascii="Calibri" w:cs="Calibri" w:eastAsia="Calibri" w:hAnsi="Calibri"/>
          <w:color w:val="222222"/>
          <w:sz w:val="21"/>
          <w:szCs w:val="21"/>
        </w:rPr>
        <w:t xml:space="preserve">Building condition and defect report</w:t>
      </w:r>
    </w:p>
    <w:p>
      <w:pPr>
        <w:pStyle w:val="ListParagraph"/>
        <w:numPr>
          <w:ilvl w:val="0"/>
          <w:numId w:val="1"/>
        </w:numPr>
        <w:spacing w:after="90"/>
      </w:pPr>
      <w:r>
        <w:rPr>
          <w:rFonts w:ascii="Calibri" w:cs="Calibri" w:eastAsia="Calibri" w:hAnsi="Calibri"/>
          <w:color w:val="222222"/>
          <w:sz w:val="21"/>
          <w:szCs w:val="21"/>
        </w:rPr>
        <w:t xml:space="preserve">Structural and building fabric assessment</w:t>
      </w:r>
    </w:p>
    <w:p>
      <w:pPr>
        <w:pStyle w:val="ListParagraph"/>
        <w:numPr>
          <w:ilvl w:val="0"/>
          <w:numId w:val="1"/>
        </w:numPr>
        <w:spacing w:after="90"/>
      </w:pPr>
      <w:r>
        <w:rPr>
          <w:rFonts w:ascii="Calibri" w:cs="Calibri" w:eastAsia="Calibri" w:hAnsi="Calibri"/>
          <w:color w:val="222222"/>
          <w:sz w:val="21"/>
          <w:szCs w:val="21"/>
        </w:rPr>
        <w:t xml:space="preserve">Roof, facade and external envelope inspection</w:t>
      </w:r>
    </w:p>
    <w:p>
      <w:pPr>
        <w:pStyle w:val="ListParagraph"/>
        <w:numPr>
          <w:ilvl w:val="0"/>
          <w:numId w:val="1"/>
        </w:numPr>
        <w:spacing w:after="90"/>
      </w:pPr>
      <w:r>
        <w:rPr>
          <w:rFonts w:ascii="Calibri" w:cs="Calibri" w:eastAsia="Calibri" w:hAnsi="Calibri"/>
          <w:color w:val="222222"/>
          <w:sz w:val="21"/>
          <w:szCs w:val="21"/>
        </w:rPr>
        <w:t xml:space="preserve">Retrospective compliance assessment against the National Construction Code</w:t>
      </w:r>
    </w:p>
    <w:p>
      <w:pPr>
        <w:pStyle w:val="ListParagraph"/>
        <w:numPr>
          <w:ilvl w:val="0"/>
          <w:numId w:val="1"/>
        </w:numPr>
        <w:spacing w:after="90"/>
      </w:pPr>
      <w:r>
        <w:rPr>
          <w:rFonts w:ascii="Calibri" w:cs="Calibri" w:eastAsia="Calibri" w:hAnsi="Calibri"/>
          <w:color w:val="222222"/>
          <w:sz w:val="21"/>
          <w:szCs w:val="21"/>
        </w:rPr>
        <w:t xml:space="preserve">Maintenance and capital expenditure planning input</w:t>
      </w:r>
    </w:p>
    <w:p>
      <w:pPr>
        <w:pStyle w:val="ListParagraph"/>
        <w:numPr>
          <w:ilvl w:val="0"/>
          <w:numId w:val="1"/>
        </w:numPr>
        <w:spacing w:after="90"/>
      </w:pPr>
      <w:r>
        <w:rPr>
          <w:rFonts w:ascii="Calibri" w:cs="Calibri" w:eastAsia="Calibri" w:hAnsi="Calibri"/>
          <w:color w:val="222222"/>
          <w:sz w:val="21"/>
          <w:szCs w:val="21"/>
        </w:rPr>
        <w:t xml:space="preserve">Industrial and retail premises inspections</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The sitewide block (see _sitewide-business.docx) must also be present on this page. This page's Service node references it by @id, so the two work together.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BreadcrumbList and an Organization at #organization. In that case delete the WebPage and BreadcrumbList nodes from this block and keep only the Service node; its provider already points at #organization.</w:t>
      </w:r>
    </w:p>
    <w:p>
      <w:pPr>
        <w:pStyle w:val="ListParagraph"/>
        <w:numPr>
          <w:ilvl w:val="0"/>
          <w:numId w:val="1"/>
        </w:numPr>
        <w:spacing w:after="90"/>
      </w:pPr>
      <w:r>
        <w:rPr>
          <w:rFonts w:ascii="Calibri" w:cs="Calibri" w:eastAsia="Calibri" w:hAnsi="Calibri"/>
          <w:color w:val="222222"/>
          <w:sz w:val="21"/>
          <w:szCs w:val="21"/>
        </w:rPr>
        <w:t xml:space="preserve">Do not ship two of the same node type on one page. If the theme or plugin already outputs BreadcrumbList, drop the one here.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2026-08-10T08:16:07.049Z</dcterms:created>
  <dcterms:modified xsi:type="dcterms:W3CDTF">2026-08-10T08:16:07.049Z</dcterms:modified>
</cp:coreProperties>
</file>

<file path=docProps/custom.xml><?xml version="1.0" encoding="utf-8"?>
<Properties xmlns="http://schemas.openxmlformats.org/officeDocument/2006/custom-properties" xmlns:vt="http://schemas.openxmlformats.org/officeDocument/2006/docPropsVTypes"/>
</file>