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and Pest Inspection</w:t>
      </w:r>
    </w:p>
    <w:p>
      <w:pPr>
        <w:spacing w:after="260"/>
      </w:pPr>
      <w:r>
        <w:rPr>
          <w:rFonts w:ascii="Calibri" w:cs="Calibri" w:eastAsia="Calibri" w:hAnsi="Calibri"/>
          <w:color w:val="5A6472"/>
          <w:sz w:val="20"/>
          <w:szCs w:val="20"/>
        </w:rPr>
        <w:t xml:space="preserve">Service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https://buildinginspectionsnearme.com.au/building-and-pest-inspections/</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Service type</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Building and timber pest inspection</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Primary keyword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building and pest inspection</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(page quotes on request)</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"Combined building and timber pest inspection reported against AS 4349.1 and AS 4349.3, two separate standards with separate scopes. Covers building defects alongside termite activity, timber pest damage and the conditions conducive to attack, in one engineer-led visit.",</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"alternateName": "Building and termite inspection",</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and timber pest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"Combined building and timber pest inspection reported against AS 4349.1 and AS 4349.3, two separate standards with separate scopes. Covers building defects alongside termite activity, timber pest damage and the conditions conducive to attack, in one engineer-led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"audience": {</w:t>
      </w:r>
    </w:p>
    <w:p>
      <w:pPr>
        <w:shd w:fill="F4F6F8" w:color="auto" w:val="clear"/>
        <w:spacing w:after="0" w:before="0" w:line="240"/>
        <w:ind w:left="120" w:right="120"/>
      </w:pPr>
      <w:r>
        <w:rPr>
          <w:rFonts w:ascii="Consolas" w:cs="Consolas" w:eastAsia="Consolas" w:hAnsi="Consolas"/>
          <w:color w:val="1B2733"/>
          <w:sz w:val="14"/>
          <w:szCs w:val="14"/>
        </w:rPr>
        <w:t xml:space="preserve">        "@type": "Audience",</w:t>
      </w:r>
    </w:p>
    <w:p>
      <w:pPr>
        <w:shd w:fill="F4F6F8" w:color="auto" w:val="clear"/>
        <w:spacing w:after="0" w:before="0" w:line="240"/>
        <w:ind w:left="120" w:right="120"/>
      </w:pPr>
      <w:r>
        <w:rPr>
          <w:rFonts w:ascii="Consolas" w:cs="Consolas" w:eastAsia="Consolas" w:hAnsi="Consolas"/>
          <w:color w:val="1B2733"/>
          <w:sz w:val="14"/>
          <w:szCs w:val="14"/>
        </w:rPr>
        <w:t xml:space="preserve">        "audienceType": "Home buyers, owners and property investors"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"Combined building and timber pest report addressing AS 4349.1 and AS 4349.3."</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 inclusions",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"name": "Standard building inspection to AS 4349.1"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"name": "Timber pest inspection to AS 4349.3"</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"name": "Termite activity and timber pest damage detection"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"name": "Moisture 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"name": "Conducive conditions reporting"</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"name": "Treatment and management recommendations"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"name": "Single combined written report"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"isRelatedTo":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What this markup says</w:t>
      </w:r>
    </w:p>
    <w:p>
      <w:pPr>
        <w:spacing w:after="160"/>
      </w:pPr>
      <w:r>
        <w:rPr>
          <w:rFonts w:ascii="Calibri" w:cs="Calibri" w:eastAsia="Calibri" w:hAnsi="Calibri"/>
          <w:b w:val="false"/>
          <w:bCs w:val="false"/>
          <w:i w:val="false"/>
          <w:iCs w:val="false"/>
          <w:color w:val="222222"/>
          <w:sz w:val="21"/>
          <w:szCs w:val="21"/>
        </w:rPr>
        <w:t xml:space="preserve">Combined building and timber pest inspection reported against AS 4349.1 and AS 4349.3, two separate standards with separate scopes. Covers building defects alongside termite activity, timber pest damage and the conditions conducive to attack, in one engineer-led visit.</w:t>
      </w:r>
    </w:p>
    <w:p>
      <w:pPr>
        <w:spacing w:after="160"/>
      </w:pPr>
      <w:r>
        <w:rPr>
          <w:rFonts w:ascii="Calibri" w:cs="Calibri" w:eastAsia="Calibri" w:hAnsi="Calibri"/>
          <w:b w:val="false"/>
          <w:bCs w:val="false"/>
          <w:i w:val="false"/>
          <w:iCs w:val="false"/>
          <w:color w:val="222222"/>
          <w:sz w:val="21"/>
          <w:szCs w:val="21"/>
        </w:rPr>
        <w:t xml:space="preserve">Report delivered: Combined building and timber pest report addressing AS 4349.1 and AS 4349.3.</w:t>
      </w:r>
    </w:p>
    <w:p>
      <w:pPr>
        <w:spacing w:after="160"/>
      </w:pPr>
      <w:r>
        <w:rPr>
          <w:rFonts w:ascii="Calibri" w:cs="Calibri" w:eastAsia="Calibri" w:hAnsi="Calibri"/>
          <w:b w:val="false"/>
          <w:bCs w:val="false"/>
          <w:i w:val="false"/>
          <w:iCs w:val="false"/>
          <w:color w:val="222222"/>
          <w:sz w:val="21"/>
          <w:szCs w:val="21"/>
        </w:rPr>
        <w:t xml:space="preserve">Intended audience: Home buyers, owners and property investors</w:t>
      </w:r>
    </w:p>
    <w:p>
      <w:pPr>
        <w:pStyle w:val="Heading2"/>
        <w:pBdr>
          <w:bottom w:val="single" w:color="D6DCE4" w:sz="6" w:space="6"/>
        </w:pBdr>
        <w:spacing w:after="140" w:before="320"/>
      </w:pPr>
      <w:r>
        <w:rPr>
          <w:rFonts w:ascii="Calibri" w:cs="Calibri" w:eastAsia="Calibri" w:hAnsi="Calibri"/>
          <w:b/>
          <w:bCs/>
          <w:color w:val="0B2C5A"/>
          <w:sz w:val="25"/>
          <w:szCs w:val="25"/>
        </w:rPr>
        <w:t xml:space="preserve">Local business details carried on this page</w:t>
      </w:r>
    </w:p>
    <w:p>
      <w:pPr>
        <w:spacing w:after="160"/>
      </w:pPr>
      <w:r>
        <w:rPr>
          <w:rFonts w:ascii="Calibri" w:cs="Calibri" w:eastAsia="Calibri" w:hAnsi="Calibri"/>
          <w:b w:val="false"/>
          <w:bCs w:val="false"/>
          <w:i w:val="false"/>
          <w:iCs w:val="false"/>
          <w:color w:val="5A6472"/>
          <w:sz w:val="21"/>
          <w:szCs w:val="21"/>
        </w:rPr>
        <w:t xml:space="preserve">This block includes the business itself, so the page stands alone. The same details appear on all eleven service pages under one shared @id.</w:t>
      </w:r>
    </w:p>
    <w:p>
      <w:pPr>
        <w:pStyle w:val="ListParagraph"/>
        <w:numPr>
          <w:ilvl w:val="0"/>
          <w:numId w:val="1"/>
        </w:numPr>
        <w:spacing w:after="90"/>
      </w:pPr>
      <w:r>
        <w:rPr>
          <w:rFonts w:ascii="Calibri" w:cs="Calibri" w:eastAsia="Calibri" w:hAnsi="Calibri"/>
          <w:color w:val="222222"/>
          <w:sz w:val="21"/>
          <w:szCs w:val="21"/>
        </w:rPr>
        <w:t xml:space="preserve">Name: Building Inspections Near Me (BINM)</w:t>
      </w:r>
    </w:p>
    <w:p>
      <w:pPr>
        <w:pStyle w:val="ListParagraph"/>
        <w:numPr>
          <w:ilvl w:val="0"/>
          <w:numId w:val="1"/>
        </w:numPr>
        <w:spacing w:after="90"/>
      </w:pPr>
      <w:r>
        <w:rPr>
          <w:rFonts w:ascii="Calibri" w:cs="Calibri" w:eastAsia="Calibri" w:hAnsi="Calibri"/>
          <w:color w:val="222222"/>
          <w:sz w:val="21"/>
          <w:szCs w:val="21"/>
        </w:rPr>
        <w:t xml:space="preserve">Type: HomeAndConstructionBusiness, ProfessionalService — both LocalBusiness subtypes</w:t>
      </w:r>
    </w:p>
    <w:p>
      <w:pPr>
        <w:pStyle w:val="ListParagraph"/>
        <w:numPr>
          <w:ilvl w:val="0"/>
          <w:numId w:val="1"/>
        </w:numPr>
        <w:spacing w:after="90"/>
      </w:pPr>
      <w:r>
        <w:rPr>
          <w:rFonts w:ascii="Calibri" w:cs="Calibri" w:eastAsia="Calibri" w:hAnsi="Calibri"/>
          <w:color w:val="222222"/>
          <w:sz w:val="21"/>
          <w:szCs w:val="21"/>
        </w:rPr>
        <w:t xml:space="preserve">@id: https://buildinginspectionsnearme.com.au/#organization (identical on every page)</w:t>
      </w:r>
    </w:p>
    <w:p>
      <w:pPr>
        <w:pStyle w:val="ListParagraph"/>
        <w:numPr>
          <w:ilvl w:val="0"/>
          <w:numId w:val="1"/>
        </w:numPr>
        <w:spacing w:after="90"/>
      </w:pPr>
      <w:r>
        <w:rPr>
          <w:rFonts w:ascii="Calibri" w:cs="Calibri" w:eastAsia="Calibri" w:hAnsi="Calibri"/>
          <w:color w:val="222222"/>
          <w:sz w:val="21"/>
          <w:szCs w:val="21"/>
        </w:rPr>
        <w:t xml:space="preserve">Phone: +61-1800-796-776</w:t>
      </w:r>
    </w:p>
    <w:p>
      <w:pPr>
        <w:pStyle w:val="ListParagraph"/>
        <w:numPr>
          <w:ilvl w:val="0"/>
          <w:numId w:val="1"/>
        </w:numPr>
        <w:spacing w:after="90"/>
      </w:pPr>
      <w:r>
        <w:rPr>
          <w:rFonts w:ascii="Calibri" w:cs="Calibri" w:eastAsia="Calibri" w:hAnsi="Calibri"/>
          <w:color w:val="222222"/>
          <w:sz w:val="21"/>
          <w:szCs w:val="21"/>
        </w:rPr>
        <w:t xml:space="preserve">Price range: From $495 inc. GST</w:t>
      </w:r>
    </w:p>
    <w:p>
      <w:pPr>
        <w:pStyle w:val="ListParagraph"/>
        <w:numPr>
          <w:ilvl w:val="0"/>
          <w:numId w:val="1"/>
        </w:numPr>
        <w:spacing w:after="90"/>
      </w:pPr>
      <w:r>
        <w:rPr>
          <w:rFonts w:ascii="Calibri" w:cs="Calibri" w:eastAsia="Calibri" w:hAnsi="Calibri"/>
          <w:color w:val="222222"/>
          <w:sz w:val="21"/>
          <w:szCs w:val="21"/>
        </w:rPr>
        <w:t xml:space="preserve">Area served: Australia, Melbourne, Sydney, Brisbane, Adelaide</w:t>
      </w:r>
    </w:p>
    <w:p>
      <w:pPr>
        <w:pStyle w:val="ListParagraph"/>
        <w:numPr>
          <w:ilvl w:val="0"/>
          <w:numId w:val="1"/>
        </w:numPr>
        <w:spacing w:after="90"/>
      </w:pPr>
      <w:r>
        <w:rPr>
          <w:rFonts w:ascii="Calibri" w:cs="Calibri" w:eastAsia="Calibri" w:hAnsi="Calibri"/>
          <w:color w:val="222222"/>
          <w:sz w:val="21"/>
          <w:szCs w:val="21"/>
        </w:rPr>
        <w:t xml:space="preserve">Also lists all 11 services via hasOfferCatalog.</w:t>
      </w:r>
    </w:p>
    <w:p>
      <w:pPr>
        <w:pStyle w:val="ListParagraph"/>
        <w:numPr>
          <w:ilvl w:val="0"/>
          <w:numId w:val="1"/>
        </w:numPr>
        <w:spacing w:after="90"/>
      </w:pPr>
      <w:r>
        <w:rPr>
          <w:rFonts w:ascii="Calibri" w:cs="Calibri" w:eastAsia="Calibri" w:hAnsi="Calibri"/>
          <w:color w:val="222222"/>
          <w:sz w:val="21"/>
          <w:szCs w:val="21"/>
        </w:rPr>
        <w:t xml:space="preserve">Not included (no published source): geo, logo, image, email, openingHoursSpecification, sameAs. Without an address this is not a complete Google LocalBusiness entry; add them to business-profile.json and regenerate once they exist.</w:t>
      </w:r>
    </w:p>
    <w:p>
      <w:pPr>
        <w:pStyle w:val="Heading2"/>
        <w:pBdr>
          <w:bottom w:val="single" w:color="D6DCE4" w:sz="6" w:space="6"/>
        </w:pBdr>
        <w:spacing w:after="140" w:before="320"/>
      </w:pPr>
      <w:r>
        <w:rPr>
          <w:rFonts w:ascii="Calibri" w:cs="Calibri" w:eastAsia="Calibri" w:hAnsi="Calibri"/>
          <w:b/>
          <w:bCs/>
          <w:color w:val="0B2C5A"/>
          <w:sz w:val="25"/>
          <w:szCs w:val="25"/>
        </w:rPr>
        <w:t xml:space="preserve">Inclusions listed in the markup</w:t>
      </w:r>
    </w:p>
    <w:p>
      <w:pPr>
        <w:spacing w:after="160"/>
      </w:pPr>
      <w:r>
        <w:rPr>
          <w:rFonts w:ascii="Calibri" w:cs="Calibri" w:eastAsia="Calibri" w:hAnsi="Calibri"/>
          <w:b w:val="false"/>
          <w:bCs w:val="false"/>
          <w:i w:val="false"/>
          <w:iCs w:val="false"/>
          <w:color w:val="5A6472"/>
          <w:sz w:val="21"/>
          <w:szCs w:val="21"/>
        </w:rPr>
        <w:t xml:space="preserve">These appear as the page's OfferCatalog. They should match the inclusions published on the page.</w:t>
      </w:r>
    </w:p>
    <w:p>
      <w:pPr>
        <w:pStyle w:val="ListParagraph"/>
        <w:numPr>
          <w:ilvl w:val="0"/>
          <w:numId w:val="1"/>
        </w:numPr>
        <w:spacing w:after="90"/>
      </w:pPr>
      <w:r>
        <w:rPr>
          <w:rFonts w:ascii="Calibri" w:cs="Calibri" w:eastAsia="Calibri" w:hAnsi="Calibri"/>
          <w:color w:val="222222"/>
          <w:sz w:val="21"/>
          <w:szCs w:val="21"/>
        </w:rPr>
        <w:t xml:space="preserve">Standard building inspection to AS 4349.1</w:t>
      </w:r>
    </w:p>
    <w:p>
      <w:pPr>
        <w:pStyle w:val="ListParagraph"/>
        <w:numPr>
          <w:ilvl w:val="0"/>
          <w:numId w:val="1"/>
        </w:numPr>
        <w:spacing w:after="90"/>
      </w:pPr>
      <w:r>
        <w:rPr>
          <w:rFonts w:ascii="Calibri" w:cs="Calibri" w:eastAsia="Calibri" w:hAnsi="Calibri"/>
          <w:color w:val="222222"/>
          <w:sz w:val="21"/>
          <w:szCs w:val="21"/>
        </w:rPr>
        <w:t xml:space="preserve">Timber pest inspection to AS 4349.3</w:t>
      </w:r>
    </w:p>
    <w:p>
      <w:pPr>
        <w:pStyle w:val="ListParagraph"/>
        <w:numPr>
          <w:ilvl w:val="0"/>
          <w:numId w:val="1"/>
        </w:numPr>
        <w:spacing w:after="90"/>
      </w:pPr>
      <w:r>
        <w:rPr>
          <w:rFonts w:ascii="Calibri" w:cs="Calibri" w:eastAsia="Calibri" w:hAnsi="Calibri"/>
          <w:color w:val="222222"/>
          <w:sz w:val="21"/>
          <w:szCs w:val="21"/>
        </w:rPr>
        <w:t xml:space="preserve">Termite activity and timber pest damage detection</w:t>
      </w:r>
    </w:p>
    <w:p>
      <w:pPr>
        <w:pStyle w:val="ListParagraph"/>
        <w:numPr>
          <w:ilvl w:val="0"/>
          <w:numId w:val="1"/>
        </w:numPr>
        <w:spacing w:after="90"/>
      </w:pPr>
      <w:r>
        <w:rPr>
          <w:rFonts w:ascii="Calibri" w:cs="Calibri" w:eastAsia="Calibri" w:hAnsi="Calibri"/>
          <w:color w:val="222222"/>
          <w:sz w:val="21"/>
          <w:szCs w:val="21"/>
        </w:rPr>
        <w:t xml:space="preserve">Moisture assessment</w:t>
      </w:r>
    </w:p>
    <w:p>
      <w:pPr>
        <w:pStyle w:val="ListParagraph"/>
        <w:numPr>
          <w:ilvl w:val="0"/>
          <w:numId w:val="1"/>
        </w:numPr>
        <w:spacing w:after="90"/>
      </w:pPr>
      <w:r>
        <w:rPr>
          <w:rFonts w:ascii="Calibri" w:cs="Calibri" w:eastAsia="Calibri" w:hAnsi="Calibri"/>
          <w:color w:val="222222"/>
          <w:sz w:val="21"/>
          <w:szCs w:val="21"/>
        </w:rPr>
        <w:t xml:space="preserve">Conducive conditions reporting</w:t>
      </w:r>
    </w:p>
    <w:p>
      <w:pPr>
        <w:pStyle w:val="ListParagraph"/>
        <w:numPr>
          <w:ilvl w:val="0"/>
          <w:numId w:val="1"/>
        </w:numPr>
        <w:spacing w:after="90"/>
      </w:pPr>
      <w:r>
        <w:rPr>
          <w:rFonts w:ascii="Calibri" w:cs="Calibri" w:eastAsia="Calibri" w:hAnsi="Calibri"/>
          <w:color w:val="222222"/>
          <w:sz w:val="21"/>
          <w:szCs w:val="21"/>
        </w:rPr>
        <w:t xml:space="preserve">Treatment and management recommendations</w:t>
      </w:r>
    </w:p>
    <w:p>
      <w:pPr>
        <w:pStyle w:val="ListParagraph"/>
        <w:numPr>
          <w:ilvl w:val="0"/>
          <w:numId w:val="1"/>
        </w:numPr>
        <w:spacing w:after="90"/>
      </w:pPr>
      <w:r>
        <w:rPr>
          <w:rFonts w:ascii="Calibri" w:cs="Calibri" w:eastAsia="Calibri" w:hAnsi="Calibri"/>
          <w:color w:val="222222"/>
          <w:sz w:val="21"/>
          <w:szCs w:val="21"/>
        </w:rPr>
        <w:t xml:space="preserve">Single combined written report</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so the eleven copies resolve to one business entity rather than eleven separate ones. Do not change it per page.</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from this block and keep only the Service node; its provider already points at #organization, so it attaches to Yoast's organisation automatically.</w:t>
      </w:r>
    </w:p>
    <w:p>
      <w:pPr>
        <w:pStyle w:val="ListParagraph"/>
        <w:numPr>
          <w:ilvl w:val="0"/>
          <w:numId w:val="1"/>
        </w:numPr>
        <w:spacing w:after="90"/>
      </w:pPr>
      <w:r>
        <w:rPr>
          <w:rFonts w:ascii="Calibri" w:cs="Calibri" w:eastAsia="Calibri" w:hAnsi="Calibri"/>
          <w:color w:val="222222"/>
          <w:sz w:val="21"/>
          <w:szCs w:val="21"/>
        </w:rPr>
        <w:t xml:space="preserve">Do not ship two of the same node type on one page. If the theme or plugin already outputs BreadcrumbList or an organisation node, drop the duplicate here.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2026-08-10T08:50:27.265Z</dcterms:created>
  <dcterms:modified xsi:type="dcterms:W3CDTF">2026-08-10T08:50:27.265Z</dcterms:modified>
</cp:coreProperties>
</file>

<file path=docProps/custom.xml><?xml version="1.0" encoding="utf-8"?>
<Properties xmlns="http://schemas.openxmlformats.org/officeDocument/2006/custom-properties" xmlns:vt="http://schemas.openxmlformats.org/officeDocument/2006/docPropsVTypes"/>
</file>