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Commercial Building Inspection</w:t>
      </w:r>
    </w:p>
    <w:p>
      <w:pPr>
        <w:spacing w:after="260"/>
      </w:pPr>
      <w:r>
        <w:rPr>
          <w:rFonts w:ascii="Calibri" w:cs="Calibri" w:eastAsia="Calibri" w:hAnsi="Calibri"/>
          <w:color w:val="5A6472"/>
          <w:sz w:val="20"/>
          <w:szCs w:val="20"/>
        </w:rPr>
        <w:t xml:space="preserve">Service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https://buildinginspectionsnearme.com.au/commercial-building-inspections/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Service type</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Commercial building inspection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Primary keyword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commercial building inspection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(page quotes on request)</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inspections of commercial, industrial and retail property for purchasers, tenants, landlords and asset owners. Covers building condition, structural assessment, defect identification and retrospective compliance against the National Construction Code and relevant Australian Standards.",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"alternateName": "Commercial property inspection",</w:t>
      </w:r>
    </w:p>
    <w:p>
      <w:pPr>
        <w:shd w:fill="F4F6F8" w:color="auto" w:val="clear"/>
        <w:spacing w:after="0" w:before="0" w:line="240"/>
        <w:ind w:left="120" w:right="120"/>
      </w:pPr>
      <w:r>
        <w:rPr>
          <w:rFonts w:ascii="Consolas" w:cs="Consolas" w:eastAsia="Consolas" w:hAnsi="Consolas"/>
          <w:color w:val="1B2733"/>
          <w:sz w:val="14"/>
          <w:szCs w:val="14"/>
        </w:rPr>
        <w:t xml:space="preserve">      "serviceType":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inspections of commercial, industrial and retail property for purchasers, tenants, landlords and asset owners. Covers building condition, structural assessment, defect identification and retrospective compliance against the National Construction Code and relevant Australian Standards.",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"audience": {</w:t>
      </w:r>
    </w:p>
    <w:p>
      <w:pPr>
        <w:shd w:fill="F4F6F8" w:color="auto" w:val="clear"/>
        <w:spacing w:after="0" w:before="0" w:line="240"/>
        <w:ind w:left="120" w:right="120"/>
      </w:pPr>
      <w:r>
        <w:rPr>
          <w:rFonts w:ascii="Consolas" w:cs="Consolas" w:eastAsia="Consolas" w:hAnsi="Consolas"/>
          <w:color w:val="1B2733"/>
          <w:sz w:val="14"/>
          <w:szCs w:val="14"/>
        </w:rPr>
        <w:t xml:space="preserve">        "@type": "Audience",</w:t>
      </w:r>
    </w:p>
    <w:p>
      <w:pPr>
        <w:shd w:fill="F4F6F8" w:color="auto" w:val="clear"/>
        <w:spacing w:after="0" w:before="0" w:line="240"/>
        <w:ind w:left="120" w:right="120"/>
      </w:pPr>
      <w:r>
        <w:rPr>
          <w:rFonts w:ascii="Consolas" w:cs="Consolas" w:eastAsia="Consolas" w:hAnsi="Consolas"/>
          <w:color w:val="1B2733"/>
          <w:sz w:val="14"/>
          <w:szCs w:val="14"/>
        </w:rPr>
        <w:t xml:space="preserve">        "audienceType": "Commercial purchasers, tenants, landlords and asset managers"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condition and defect report, with engineering assessment where structural issues are identified."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"https://buildinginspectionsnearme.com.au/commercial-building-inspections/#offer-catalog",</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 inclusions",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"Pre-lease and make-good 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condition and defect report"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"Structural and building fabric 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"Roof, facade and external envelope 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"Retrospective compliance assessment against the National Construction Code"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"Maintenance and capital expenditure planning input"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"Industrial and retail premises 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"isRelatedTo":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What this markup says</w:t>
      </w:r>
    </w:p>
    <w:p>
      <w:pPr>
        <w:spacing w:after="160"/>
      </w:pPr>
      <w:r>
        <w:rPr>
          <w:rFonts w:ascii="Calibri" w:cs="Calibri" w:eastAsia="Calibri" w:hAnsi="Calibri"/>
          <w:b w:val="false"/>
          <w:bCs w:val="false"/>
          <w:i w:val="false"/>
          <w:iCs w:val="false"/>
          <w:color w:val="222222"/>
          <w:sz w:val="21"/>
          <w:szCs w:val="21"/>
        </w:rPr>
        <w:t xml:space="preserve">Engineer-led inspections of commercial, industrial and retail property for purchasers, tenants, landlords and asset owners. Covers building condition, structural assessment, defect identification and retrospective compliance against the National Construction Code and relevant Australian Standards.</w:t>
      </w:r>
    </w:p>
    <w:p>
      <w:pPr>
        <w:spacing w:after="160"/>
      </w:pPr>
      <w:r>
        <w:rPr>
          <w:rFonts w:ascii="Calibri" w:cs="Calibri" w:eastAsia="Calibri" w:hAnsi="Calibri"/>
          <w:b w:val="false"/>
          <w:bCs w:val="false"/>
          <w:i w:val="false"/>
          <w:iCs w:val="false"/>
          <w:color w:val="222222"/>
          <w:sz w:val="21"/>
          <w:szCs w:val="21"/>
        </w:rPr>
        <w:t xml:space="preserve">Report delivered: Commercial building condition and defect report, with engineering assessment where structural issues are identified.</w:t>
      </w:r>
    </w:p>
    <w:p>
      <w:pPr>
        <w:spacing w:after="160"/>
      </w:pPr>
      <w:r>
        <w:rPr>
          <w:rFonts w:ascii="Calibri" w:cs="Calibri" w:eastAsia="Calibri" w:hAnsi="Calibri"/>
          <w:b w:val="false"/>
          <w:bCs w:val="false"/>
          <w:i w:val="false"/>
          <w:iCs w:val="false"/>
          <w:color w:val="222222"/>
          <w:sz w:val="21"/>
          <w:szCs w:val="21"/>
        </w:rPr>
        <w:t xml:space="preserve">Intended audience: Commercial purchasers, tenants, landlords and asset managers</w:t>
      </w:r>
    </w:p>
    <w:p>
      <w:pPr>
        <w:pStyle w:val="Heading2"/>
        <w:pBdr>
          <w:bottom w:val="single" w:color="D6DCE4" w:sz="6" w:space="6"/>
        </w:pBdr>
        <w:spacing w:after="140" w:before="320"/>
      </w:pPr>
      <w:r>
        <w:rPr>
          <w:rFonts w:ascii="Calibri" w:cs="Calibri" w:eastAsia="Calibri" w:hAnsi="Calibri"/>
          <w:b/>
          <w:bCs/>
          <w:color w:val="0B2C5A"/>
          <w:sz w:val="25"/>
          <w:szCs w:val="25"/>
        </w:rPr>
        <w:t xml:space="preserve">Local business details carried on this page</w:t>
      </w:r>
    </w:p>
    <w:p>
      <w:pPr>
        <w:spacing w:after="160"/>
      </w:pPr>
      <w:r>
        <w:rPr>
          <w:rFonts w:ascii="Calibri" w:cs="Calibri" w:eastAsia="Calibri" w:hAnsi="Calibri"/>
          <w:b w:val="false"/>
          <w:bCs w:val="false"/>
          <w:i w:val="false"/>
          <w:iCs w:val="false"/>
          <w:color w:val="5A6472"/>
          <w:sz w:val="21"/>
          <w:szCs w:val="21"/>
        </w:rPr>
        <w:t xml:space="preserve">This block includes the business itself, so the page stands alone. The same details appear on all eleven service pages under one shared @id.</w:t>
      </w:r>
    </w:p>
    <w:p>
      <w:pPr>
        <w:pStyle w:val="ListParagraph"/>
        <w:numPr>
          <w:ilvl w:val="0"/>
          <w:numId w:val="1"/>
        </w:numPr>
        <w:spacing w:after="90"/>
      </w:pPr>
      <w:r>
        <w:rPr>
          <w:rFonts w:ascii="Calibri" w:cs="Calibri" w:eastAsia="Calibri" w:hAnsi="Calibri"/>
          <w:color w:val="222222"/>
          <w:sz w:val="21"/>
          <w:szCs w:val="21"/>
        </w:rPr>
        <w:t xml:space="preserve">Name: Building Inspections Near Me (BINM)</w:t>
      </w:r>
    </w:p>
    <w:p>
      <w:pPr>
        <w:pStyle w:val="ListParagraph"/>
        <w:numPr>
          <w:ilvl w:val="0"/>
          <w:numId w:val="1"/>
        </w:numPr>
        <w:spacing w:after="90"/>
      </w:pPr>
      <w:r>
        <w:rPr>
          <w:rFonts w:ascii="Calibri" w:cs="Calibri" w:eastAsia="Calibri" w:hAnsi="Calibri"/>
          <w:color w:val="222222"/>
          <w:sz w:val="21"/>
          <w:szCs w:val="21"/>
        </w:rPr>
        <w:t xml:space="preserve">Type: HomeAndConstructionBusiness, ProfessionalService — both LocalBusiness subtypes</w:t>
      </w:r>
    </w:p>
    <w:p>
      <w:pPr>
        <w:pStyle w:val="ListParagraph"/>
        <w:numPr>
          <w:ilvl w:val="0"/>
          <w:numId w:val="1"/>
        </w:numPr>
        <w:spacing w:after="90"/>
      </w:pPr>
      <w:r>
        <w:rPr>
          <w:rFonts w:ascii="Calibri" w:cs="Calibri" w:eastAsia="Calibri" w:hAnsi="Calibri"/>
          <w:color w:val="222222"/>
          <w:sz w:val="21"/>
          <w:szCs w:val="21"/>
        </w:rPr>
        <w:t xml:space="preserve">@id: https://buildinginspectionsnearme.com.au/#organization (identical on every page)</w:t>
      </w:r>
    </w:p>
    <w:p>
      <w:pPr>
        <w:pStyle w:val="ListParagraph"/>
        <w:numPr>
          <w:ilvl w:val="0"/>
          <w:numId w:val="1"/>
        </w:numPr>
        <w:spacing w:after="90"/>
      </w:pPr>
      <w:r>
        <w:rPr>
          <w:rFonts w:ascii="Calibri" w:cs="Calibri" w:eastAsia="Calibri" w:hAnsi="Calibri"/>
          <w:color w:val="222222"/>
          <w:sz w:val="21"/>
          <w:szCs w:val="21"/>
        </w:rPr>
        <w:t xml:space="preserve">Phone: +61-1800-796-776</w:t>
      </w:r>
    </w:p>
    <w:p>
      <w:pPr>
        <w:pStyle w:val="ListParagraph"/>
        <w:numPr>
          <w:ilvl w:val="0"/>
          <w:numId w:val="1"/>
        </w:numPr>
        <w:spacing w:after="90"/>
      </w:pPr>
      <w:r>
        <w:rPr>
          <w:rFonts w:ascii="Calibri" w:cs="Calibri" w:eastAsia="Calibri" w:hAnsi="Calibri"/>
          <w:color w:val="222222"/>
          <w:sz w:val="21"/>
          <w:szCs w:val="21"/>
        </w:rPr>
        <w:t xml:space="preserve">Price range: From $495 inc. GST</w:t>
      </w:r>
    </w:p>
    <w:p>
      <w:pPr>
        <w:pStyle w:val="ListParagraph"/>
        <w:numPr>
          <w:ilvl w:val="0"/>
          <w:numId w:val="1"/>
        </w:numPr>
        <w:spacing w:after="90"/>
      </w:pPr>
      <w:r>
        <w:rPr>
          <w:rFonts w:ascii="Calibri" w:cs="Calibri" w:eastAsia="Calibri" w:hAnsi="Calibri"/>
          <w:color w:val="222222"/>
          <w:sz w:val="21"/>
          <w:szCs w:val="21"/>
        </w:rPr>
        <w:t xml:space="preserve">Area served: Australia, Melbourne, Sydney, Brisbane, Adelaide</w:t>
      </w:r>
    </w:p>
    <w:p>
      <w:pPr>
        <w:pStyle w:val="ListParagraph"/>
        <w:numPr>
          <w:ilvl w:val="0"/>
          <w:numId w:val="1"/>
        </w:numPr>
        <w:spacing w:after="90"/>
      </w:pPr>
      <w:r>
        <w:rPr>
          <w:rFonts w:ascii="Calibri" w:cs="Calibri" w:eastAsia="Calibri" w:hAnsi="Calibri"/>
          <w:color w:val="222222"/>
          <w:sz w:val="21"/>
          <w:szCs w:val="21"/>
        </w:rPr>
        <w:t xml:space="preserve">Also lists all 11 services via hasOfferCatalog.</w:t>
      </w:r>
    </w:p>
    <w:p>
      <w:pPr>
        <w:pStyle w:val="ListParagraph"/>
        <w:numPr>
          <w:ilvl w:val="0"/>
          <w:numId w:val="1"/>
        </w:numPr>
        <w:spacing w:after="90"/>
      </w:pPr>
      <w:r>
        <w:rPr>
          <w:rFonts w:ascii="Calibri" w:cs="Calibri" w:eastAsia="Calibri" w:hAnsi="Calibri"/>
          <w:color w:val="222222"/>
          <w:sz w:val="21"/>
          <w:szCs w:val="21"/>
        </w:rPr>
        <w:t xml:space="preserve">Not included (no published source): geo, logo, image, email, openingHoursSpecification, sameAs. Without an address this is not a complete Google LocalBusiness entry; add them to business-profile.json and regenerate once they exist.</w:t>
      </w:r>
    </w:p>
    <w:p>
      <w:pPr>
        <w:pStyle w:val="Heading2"/>
        <w:pBdr>
          <w:bottom w:val="single" w:color="D6DCE4" w:sz="6" w:space="6"/>
        </w:pBdr>
        <w:spacing w:after="140" w:before="320"/>
      </w:pPr>
      <w:r>
        <w:rPr>
          <w:rFonts w:ascii="Calibri" w:cs="Calibri" w:eastAsia="Calibri" w:hAnsi="Calibri"/>
          <w:b/>
          <w:bCs/>
          <w:color w:val="0B2C5A"/>
          <w:sz w:val="25"/>
          <w:szCs w:val="25"/>
        </w:rPr>
        <w:t xml:space="preserve">Inclusions listed in the markup</w:t>
      </w:r>
    </w:p>
    <w:p>
      <w:pPr>
        <w:spacing w:after="160"/>
      </w:pPr>
      <w:r>
        <w:rPr>
          <w:rFonts w:ascii="Calibri" w:cs="Calibri" w:eastAsia="Calibri" w:hAnsi="Calibri"/>
          <w:b w:val="false"/>
          <w:bCs w:val="false"/>
          <w:i w:val="false"/>
          <w:iCs w:val="false"/>
          <w:color w:val="5A6472"/>
          <w:sz w:val="21"/>
          <w:szCs w:val="21"/>
        </w:rPr>
        <w:t xml:space="preserve">These appear as the page's OfferCatalog. They should match the inclusions published on the page.</w:t>
      </w:r>
    </w:p>
    <w:p>
      <w:pPr>
        <w:pStyle w:val="ListParagraph"/>
        <w:numPr>
          <w:ilvl w:val="0"/>
          <w:numId w:val="1"/>
        </w:numPr>
        <w:spacing w:after="90"/>
      </w:pPr>
      <w:r>
        <w:rPr>
          <w:rFonts w:ascii="Calibri" w:cs="Calibri" w:eastAsia="Calibri" w:hAnsi="Calibri"/>
          <w:color w:val="222222"/>
          <w:sz w:val="21"/>
          <w:szCs w:val="21"/>
        </w:rPr>
        <w:t xml:space="preserve">Pre-purchase commercial building inspection</w:t>
      </w:r>
    </w:p>
    <w:p>
      <w:pPr>
        <w:pStyle w:val="ListParagraph"/>
        <w:numPr>
          <w:ilvl w:val="0"/>
          <w:numId w:val="1"/>
        </w:numPr>
        <w:spacing w:after="90"/>
      </w:pPr>
      <w:r>
        <w:rPr>
          <w:rFonts w:ascii="Calibri" w:cs="Calibri" w:eastAsia="Calibri" w:hAnsi="Calibri"/>
          <w:color w:val="222222"/>
          <w:sz w:val="21"/>
          <w:szCs w:val="21"/>
        </w:rPr>
        <w:t xml:space="preserve">Pre-lease and make-good inspection</w:t>
      </w:r>
    </w:p>
    <w:p>
      <w:pPr>
        <w:pStyle w:val="ListParagraph"/>
        <w:numPr>
          <w:ilvl w:val="0"/>
          <w:numId w:val="1"/>
        </w:numPr>
        <w:spacing w:after="90"/>
      </w:pPr>
      <w:r>
        <w:rPr>
          <w:rFonts w:ascii="Calibri" w:cs="Calibri" w:eastAsia="Calibri" w:hAnsi="Calibri"/>
          <w:color w:val="222222"/>
          <w:sz w:val="21"/>
          <w:szCs w:val="21"/>
        </w:rPr>
        <w:t xml:space="preserve">Building condition and defect report</w:t>
      </w:r>
    </w:p>
    <w:p>
      <w:pPr>
        <w:pStyle w:val="ListParagraph"/>
        <w:numPr>
          <w:ilvl w:val="0"/>
          <w:numId w:val="1"/>
        </w:numPr>
        <w:spacing w:after="90"/>
      </w:pPr>
      <w:r>
        <w:rPr>
          <w:rFonts w:ascii="Calibri" w:cs="Calibri" w:eastAsia="Calibri" w:hAnsi="Calibri"/>
          <w:color w:val="222222"/>
          <w:sz w:val="21"/>
          <w:szCs w:val="21"/>
        </w:rPr>
        <w:t xml:space="preserve">Structural and building fabric assessment</w:t>
      </w:r>
    </w:p>
    <w:p>
      <w:pPr>
        <w:pStyle w:val="ListParagraph"/>
        <w:numPr>
          <w:ilvl w:val="0"/>
          <w:numId w:val="1"/>
        </w:numPr>
        <w:spacing w:after="90"/>
      </w:pPr>
      <w:r>
        <w:rPr>
          <w:rFonts w:ascii="Calibri" w:cs="Calibri" w:eastAsia="Calibri" w:hAnsi="Calibri"/>
          <w:color w:val="222222"/>
          <w:sz w:val="21"/>
          <w:szCs w:val="21"/>
        </w:rPr>
        <w:t xml:space="preserve">Roof, facade and external envelope inspection</w:t>
      </w:r>
    </w:p>
    <w:p>
      <w:pPr>
        <w:pStyle w:val="ListParagraph"/>
        <w:numPr>
          <w:ilvl w:val="0"/>
          <w:numId w:val="1"/>
        </w:numPr>
        <w:spacing w:after="90"/>
      </w:pPr>
      <w:r>
        <w:rPr>
          <w:rFonts w:ascii="Calibri" w:cs="Calibri" w:eastAsia="Calibri" w:hAnsi="Calibri"/>
          <w:color w:val="222222"/>
          <w:sz w:val="21"/>
          <w:szCs w:val="21"/>
        </w:rPr>
        <w:t xml:space="preserve">Retrospective compliance assessment against the National Construction Code</w:t>
      </w:r>
    </w:p>
    <w:p>
      <w:pPr>
        <w:pStyle w:val="ListParagraph"/>
        <w:numPr>
          <w:ilvl w:val="0"/>
          <w:numId w:val="1"/>
        </w:numPr>
        <w:spacing w:after="90"/>
      </w:pPr>
      <w:r>
        <w:rPr>
          <w:rFonts w:ascii="Calibri" w:cs="Calibri" w:eastAsia="Calibri" w:hAnsi="Calibri"/>
          <w:color w:val="222222"/>
          <w:sz w:val="21"/>
          <w:szCs w:val="21"/>
        </w:rPr>
        <w:t xml:space="preserve">Maintenance and capital expenditure planning input</w:t>
      </w:r>
    </w:p>
    <w:p>
      <w:pPr>
        <w:pStyle w:val="ListParagraph"/>
        <w:numPr>
          <w:ilvl w:val="0"/>
          <w:numId w:val="1"/>
        </w:numPr>
        <w:spacing w:after="90"/>
      </w:pPr>
      <w:r>
        <w:rPr>
          <w:rFonts w:ascii="Calibri" w:cs="Calibri" w:eastAsia="Calibri" w:hAnsi="Calibri"/>
          <w:color w:val="222222"/>
          <w:sz w:val="21"/>
          <w:szCs w:val="21"/>
        </w:rPr>
        <w:t xml:space="preserve">Industrial and retail premises inspections</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so the eleven copies resolve to one business entity rather than eleven separate ones. Do not change it per page.</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from this block and keep only the Service node; its provider already points at #organization, so it attaches to Yoast's organisation automatically.</w:t>
      </w:r>
    </w:p>
    <w:p>
      <w:pPr>
        <w:pStyle w:val="ListParagraph"/>
        <w:numPr>
          <w:ilvl w:val="0"/>
          <w:numId w:val="1"/>
        </w:numPr>
        <w:spacing w:after="90"/>
      </w:pPr>
      <w:r>
        <w:rPr>
          <w:rFonts w:ascii="Calibri" w:cs="Calibri" w:eastAsia="Calibri" w:hAnsi="Calibri"/>
          <w:color w:val="222222"/>
          <w:sz w:val="21"/>
          <w:szCs w:val="21"/>
        </w:rPr>
        <w:t xml:space="preserve">Do not ship two of the same node type on one page. If the theme or plugin already outputs BreadcrumbList or an organisation node, drop the duplicate here.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2026-08-10T08:50:27.270Z</dcterms:created>
  <dcterms:modified xsi:type="dcterms:W3CDTF">2026-08-10T08:50:27.270Z</dcterms:modified>
</cp:coreProperties>
</file>

<file path=docProps/custom.xml><?xml version="1.0" encoding="utf-8"?>
<Properties xmlns="http://schemas.openxmlformats.org/officeDocument/2006/custom-properties" xmlns:vt="http://schemas.openxmlformats.org/officeDocument/2006/docPropsVTypes"/>
</file>