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2026-04-20T07:10:05Z</dcterms:created>
  <dcterms:modified xsi:type="dcterms:W3CDTF">2026-04-20T07:10:05Z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engines">
    <vt:lpwstr/>
  </property>
  <property fmtid="{D5CDD505-2E9C-101B-9397-08002B2CF9AE}" pid="12" name="header-includes">
    <vt:lpwstr/>
  </property>
  <property fmtid="{D5CDD505-2E9C-101B-9397-08002B2CF9AE}" pid="13" name="image">
    <vt:lpwstr>lscog_taz.png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Lower Savannah Council of Governments (LSCOG) 2050 Long Range Transportation Plan</vt:lpwstr>
  </property>
  <property fmtid="{D5CDD505-2E9C-101B-9397-08002B2CF9AE}" pid="22" name="title-block-banner">
    <vt:lpwstr>True</vt:lpwstr>
  </property>
  <property fmtid="{D5CDD505-2E9C-101B-9397-08002B2CF9AE}" pid="23" name="toc-title">
    <vt:lpwstr>Table of contents</vt:lpwstr>
  </property>
</Properties>
</file>