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dc:description>Developing base-year socioeconomic data by traffic analysis zone for the Lower Savannah COG 2050 Long Range Transportation Plan, using R and Python.</dc:description>
  <cp:keywords/>
  <dcterms:created xsi:type="dcterms:W3CDTF">2026-10-25T00:56:20Z</dcterms:created>
  <dcterms:modified xsi:type="dcterms:W3CDTF">2026-10-25T00:56:20Z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ate-modified">
    <vt:lpwstr>2026-10-24</vt:lpwstr>
  </property>
  <property fmtid="{D5CDD505-2E9C-101B-9397-08002B2CF9AE}" pid="11" name="draft-mode">
    <vt:lpwstr>visible</vt:lpwstr>
  </property>
  <property fmtid="{D5CDD505-2E9C-101B-9397-08002B2CF9AE}" pid="12" name="header-includes">
    <vt:lpwstr/>
  </property>
  <property fmtid="{D5CDD505-2E9C-101B-9397-08002B2CF9AE}" pid="13" name="image">
    <vt:lpwstr>lscog_taz.png</vt:lpwstr>
  </property>
  <property fmtid="{D5CDD505-2E9C-101B-9397-08002B2CF9AE}" pid="14" name="image-alt">
    <vt:lpwstr>Map of six South Carolina counties in the Lower Savannah region divided into colored traffic analysis zones.</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subtitle">
    <vt:lpwstr>Lower Savannah Council of Governments (LSCOG) 2050 Long Range Transportation Plan</vt:lpwstr>
  </property>
  <property fmtid="{D5CDD505-2E9C-101B-9397-08002B2CF9AE}" pid="23" name="title-block-banner">
    <vt:lpwstr>True</vt:lpwstr>
  </property>
  <property fmtid="{D5CDD505-2E9C-101B-9397-08002B2CF9AE}" pid="24" name="toc-title">
    <vt:lpwstr>Table of contents</vt:lpwstr>
  </property>
</Properties>
</file>