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source("app.R")</w:t>
      </w:r>
    </w:p>
    <w:bookmarkEnd w:id="22"/>
    <w:bookmarkStart w:id="2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StringTok"/>
        </w:rPr>
        <w:t xml:space="preserve">"lower_primary"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"Kankai Education Foundation"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Nursery to Grade 3."</w:t>
      </w:r>
      <w:r>
        <w:br/>
      </w:r>
      <w:r>
        <w:rPr>
          <w:rStyle w:val="NormalTok"/>
        </w:rPr>
        <w:t xml:space="preserve">      ),</w:t>
      </w:r>
      <w:r>
        <w:br/>
      </w:r>
      <w:r>
        <w:rPr>
          <w:rStyle w:val="NormalTok"/>
        </w:rPr>
        <w:t xml:space="preserve">      </w:t>
      </w:r>
      <w:r>
        <w:rPr>
          <w:rStyle w:val="StringTok"/>
        </w:rPr>
        <w:t xml:space="preserve">"upper_primary"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"Laligurans English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4 &amp; Grade 5."</w:t>
      </w:r>
      <w:r>
        <w:br/>
      </w:r>
      <w:r>
        <w:rPr>
          <w:rStyle w:val="NormalTok"/>
        </w:rPr>
        <w:t xml:space="preserve">      ),</w:t>
      </w:r>
      <w:r>
        <w:br/>
      </w:r>
      <w:r>
        <w:rPr>
          <w:rStyle w:val="NormalTok"/>
        </w:rPr>
        <w:t xml:space="preserve">      </w:t>
      </w:r>
      <w:r>
        <w:rPr>
          <w:rStyle w:val="StringTok"/>
        </w:rPr>
        <w:t xml:space="preserve">"middle_school"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"Birat Jyoti English Secondary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6 &amp; Grade 7."</w:t>
      </w:r>
      <w:r>
        <w:br/>
      </w:r>
      <w:r>
        <w:rPr>
          <w:rStyle w:val="NormalTok"/>
        </w:rPr>
        <w:t xml:space="preserve">      ),</w:t>
      </w:r>
      <w:r>
        <w:br/>
      </w:r>
      <w:r>
        <w:rPr>
          <w:rStyle w:val="NormalTok"/>
        </w:rPr>
        <w:t xml:space="preserve">      </w:t>
      </w:r>
      <w:r>
        <w:rPr>
          <w:rStyle w:val="StringTok"/>
        </w:rPr>
        <w:t xml:space="preserve">"secondary_school"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"Little Flowers' English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8 to Grade 10."</w:t>
      </w:r>
      <w:r>
        <w:br/>
      </w:r>
      <w:r>
        <w:rPr>
          <w:rStyle w:val="NormalTok"/>
        </w:rPr>
        <w:t xml:space="preserve">      ),</w:t>
      </w:r>
      <w:r>
        <w:br/>
      </w:r>
      <w:r>
        <w:rPr>
          <w:rStyle w:val="NormalTok"/>
        </w:rPr>
        <w:t xml:space="preserve">      </w:t>
      </w:r>
      <w:r>
        <w:rPr>
          <w:rStyle w:val="StringTok"/>
        </w:rPr>
        <w:t xml:space="preserve">"higher_secondary"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"Kanchanjunga English Higher Secondary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Higher Secondary (Plus 2)."</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"Institute of Engineering Pulchowk Campus"</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obtained my Bachelor's Degree in Architecture."</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"University of Utah"</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obtained my Master of City &amp; Metropolitan Planning degree."</w:t>
      </w:r>
      <w:r>
        <w:br/>
      </w:r>
      <w:r>
        <w:rPr>
          <w:rStyle w:val="NormalTok"/>
        </w:rPr>
        <w:t xml:space="preserve">      ),</w:t>
      </w:r>
      <w:r>
        <w:br/>
      </w:r>
      <w:r>
        <w:rPr>
          <w:rStyle w:val="NormalTok"/>
        </w:rPr>
        <w:t xml:space="preserve">      </w:t>
      </w:r>
      <w:r>
        <w:rPr>
          <w:rStyle w:val="StringTok"/>
        </w:rPr>
        <w:t xml:space="preserve">"work_1"</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"Metro Analytics"</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lived and worked between 2023-2025."</w:t>
      </w:r>
      <w:r>
        <w:br/>
      </w:r>
      <w:r>
        <w:rPr>
          <w:rStyle w:val="NormalTok"/>
        </w:rPr>
        <w:t xml:space="preserve">      ),</w:t>
      </w:r>
      <w:r>
        <w:br/>
      </w:r>
      <w:r>
        <w:rPr>
          <w:rStyle w:val="NormalTok"/>
        </w:rPr>
        <w:t xml:space="preserve">      </w:t>
      </w:r>
      <w:r>
        <w:rPr>
          <w:rStyle w:val="StringTok"/>
        </w:rPr>
        <w:t xml:space="preserve">"work_2"</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"Wasatch Front Regional Council"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live and work currently."</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"lower_primary"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87.99734666704784</w:t>
      </w:r>
      <w:r>
        <w:rPr>
          <w:rStyle w:val="NormalTok"/>
        </w:rPr>
        <w:t xml:space="preserve">, </w:t>
      </w:r>
      <w:r>
        <w:rPr>
          <w:rStyle w:val="FloatTok"/>
        </w:rPr>
        <w:t xml:space="preserve">26.646179601882675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"upper_primary"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88.01116125198942</w:t>
      </w:r>
      <w:r>
        <w:rPr>
          <w:rStyle w:val="NormalTok"/>
        </w:rPr>
        <w:t xml:space="preserve">, </w:t>
      </w:r>
      <w:r>
        <w:rPr>
          <w:rStyle w:val="FloatTok"/>
        </w:rPr>
        <w:t xml:space="preserve">26.608294715049524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"middle_school"</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87.99218594227516</w:t>
      </w:r>
      <w:r>
        <w:rPr>
          <w:rStyle w:val="NormalTok"/>
        </w:rPr>
        <w:t xml:space="preserve">, </w:t>
      </w:r>
      <w:r>
        <w:rPr>
          <w:rStyle w:val="FloatTok"/>
        </w:rPr>
        <w:t xml:space="preserve">26.620735015314324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"secondary_school"</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87.99006631463702</w:t>
      </w:r>
      <w:r>
        <w:rPr>
          <w:rStyle w:val="NormalTok"/>
        </w:rPr>
        <w:t xml:space="preserve">, </w:t>
      </w:r>
      <w:r>
        <w:rPr>
          <w:rStyle w:val="FloatTok"/>
        </w:rPr>
        <w:t xml:space="preserve">26.63185913816036</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"higher_secondary"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87.99921328178023</w:t>
      </w:r>
      <w:r>
        <w:rPr>
          <w:rStyle w:val="NormalTok"/>
        </w:rPr>
        <w:t xml:space="preserve">, </w:t>
      </w:r>
      <w:r>
        <w:rPr>
          <w:rStyle w:val="FloatTok"/>
        </w:rPr>
        <w:t xml:space="preserve">26.633744364809765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"work_1"</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"work_2"</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62</w:t>
      </w:r>
    </w:p>
    <w:p>
      <w:pPr>
        <w:pStyle w:val="Definition"/>
      </w:pPr>
      <w:r>
        <w:t xml:space="preserve">Define the server function - handles user interactions and updates</w:t>
      </w:r>
    </w:p>
    <w:p>
      <w:pPr>
        <w:pStyle w:val="DefinitionTerm"/>
      </w:pPr>
      <w:r>
        <w:t xml:space="preserve">Line 63</w:t>
      </w:r>
    </w:p>
    <w:p>
      <w:pPr>
        <w:pStyle w:val="Definition"/>
      </w:pPr>
      <w:r>
        <w:t xml:space="preserve">Render the interactive MapLibre map with styling and controls</w:t>
      </w:r>
    </w:p>
    <w:p>
      <w:pPr>
        <w:pStyle w:val="DefinitionTerm"/>
      </w:pPr>
      <w:r>
        <w:t xml:space="preserve">Line 65</w:t>
      </w:r>
    </w:p>
    <w:p>
      <w:pPr>
        <w:pStyle w:val="Definition"/>
      </w:pPr>
      <w:r>
        <w:t xml:space="preserve">Use free OpenFreeMap tiles (no API key required)</w:t>
      </w:r>
    </w:p>
    <w:p>
      <w:pPr>
        <w:pStyle w:val="DefinitionTerm"/>
      </w:pPr>
      <w:r>
        <w:t xml:space="preserve">Line 70</w:t>
      </w:r>
    </w:p>
    <w:p>
      <w:pPr>
        <w:pStyle w:val="Definition"/>
      </w:pPr>
      <w:r>
        <w:t xml:space="preserve">Set up 3D globe projection for better geographic context</w:t>
      </w:r>
    </w:p>
    <w:p>
      <w:pPr>
        <w:pStyle w:val="DefinitionTerm"/>
      </w:pPr>
      <w:r>
        <w:t xml:space="preserve">Line 76</w:t>
      </w:r>
    </w:p>
    <w:p>
      <w:pPr>
        <w:pStyle w:val="Definition"/>
      </w:pPr>
      <w:r>
        <w:t xml:space="preserve">Handle section transitions - when user reaches each story step</w:t>
      </w:r>
    </w:p>
    <w:p>
      <w:pPr>
        <w:pStyle w:val="DefinitionTerm"/>
      </w:pPr>
      <w:r>
        <w:t xml:space="preserve">Line 168</w:t>
      </w:r>
    </w:p>
    <w:p>
      <w:pPr>
        <w:pStyle w:val="Definition"/>
      </w:pPr>
      <w:r>
        <w:t xml:space="preserve">Launch the Shiny application combining UI and server components</w:t>
      </w:r>
    </w:p>
    <w:bookmarkEnd w:id="24"/>
    <w:bookmarkStart w:id="31" w:name="understanding-the-app-structure"/>
    <w:p>
      <w:pPr>
        <w:pStyle w:val="Heading2"/>
      </w:pPr>
      <w:r>
        <w:t xml:space="preserve">5 Understanding the App Structure</w:t>
      </w:r>
    </w:p>
    <w:bookmarkStart w:id="26" w:name="setting-up-the-user-interface"/>
    <w:p>
      <w:pPr>
        <w:pStyle w:val="Heading3"/>
      </w:pPr>
      <w:r>
        <w:t xml:space="preserve">Setting Up the User Interface</w:t>
      </w:r>
    </w:p>
    <w:bookmarkStart w:id="25"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6"/>
    <w:bookmarkStart w:id="28" w:name="configuring-the-map"/>
    <w:p>
      <w:pPr>
        <w:pStyle w:val="Heading3"/>
      </w:pPr>
      <w:r>
        <w:t xml:space="preserve">Configuring the Map</w:t>
      </w:r>
    </w:p>
    <w:bookmarkStart w:id="27"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8"/>
    <w:bookmarkStart w:id="30" w:name="implementing-section-behaviors"/>
    <w:p>
      <w:pPr>
        <w:pStyle w:val="Heading3"/>
      </w:pPr>
      <w:r>
        <w:t xml:space="preserve">Implementing Section Behaviors</w:t>
      </w:r>
    </w:p>
    <w:bookmarkStart w:id="29"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0"/>
    <w:bookmarkEnd w:id="31"/>
    <w:bookmarkStart w:id="35" w:name="X7530377c9e00a42c78c192e663d1d6350b97fff"/>
    <w:p>
      <w:pPr>
        <w:pStyle w:val="Heading2"/>
      </w:pPr>
      <w:r>
        <w:t xml:space="preserve">6 Best Practices for Transportation Data Storymaps</w:t>
      </w:r>
    </w:p>
    <w:p>
      <w:pPr>
        <w:pStyle w:val="FirstParagraph"/>
      </w:pPr>
      <w:r>
        <w:t xml:space="preserve">Based on my experience as a transportation planner, here are key considerations when creating storymaps for professional use:</w:t>
      </w:r>
    </w:p>
    <w:bookmarkStart w:id="32" w:name="data-preparation"/>
    <w:p>
      <w:pPr>
        <w:pStyle w:val="Heading3"/>
      </w:pPr>
      <w:r>
        <w:t xml:space="preserve">Data Preparation</w:t>
      </w:r>
    </w:p>
    <w:p>
      <w:pPr>
        <w:pStyle w:val="Compact"/>
        <w:numPr>
          <w:ilvl w:val="0"/>
          <w:numId w:val="1002"/>
        </w:numPr>
      </w:pPr>
      <w:r>
        <w:rPr>
          <w:b/>
          <w:bCs/>
        </w:rPr>
        <w:t xml:space="preserve">Coordinate Accuracy</w:t>
      </w:r>
      <w:r>
        <w:t xml:space="preserve">: Verify coordinates using reliable sources (Google Maps, OpenStreetMap)</w:t>
      </w:r>
    </w:p>
    <w:p>
      <w:pPr>
        <w:pStyle w:val="Compact"/>
        <w:numPr>
          <w:ilvl w:val="0"/>
          <w:numId w:val="1002"/>
        </w:numPr>
      </w:pPr>
      <w:r>
        <w:rPr>
          <w:b/>
          <w:bCs/>
        </w:rPr>
        <w:t xml:space="preserve">Projection Considerations</w:t>
      </w:r>
      <w:r>
        <w:t xml:space="preserve">: Understand how different projections affect your data representation</w:t>
      </w:r>
    </w:p>
    <w:p>
      <w:pPr>
        <w:pStyle w:val="Compact"/>
        <w:numPr>
          <w:ilvl w:val="0"/>
          <w:numId w:val="1002"/>
        </w:numPr>
      </w:pPr>
      <w:r>
        <w:rPr>
          <w:b/>
          <w:bCs/>
        </w:rPr>
        <w:t xml:space="preserve">Performance Optimization</w:t>
      </w:r>
      <w:r>
        <w:t xml:space="preserve">: For large datasets, consider data aggregation and level-of-detail strategies</w:t>
      </w:r>
    </w:p>
    <w:bookmarkEnd w:id="32"/>
    <w:bookmarkStart w:id="33" w:name="visual-design"/>
    <w:p>
      <w:pPr>
        <w:pStyle w:val="Heading3"/>
      </w:pPr>
      <w:r>
        <w:t xml:space="preserve">Visual Design</w:t>
      </w:r>
    </w:p>
    <w:p>
      <w:pPr>
        <w:pStyle w:val="Compact"/>
        <w:numPr>
          <w:ilvl w:val="0"/>
          <w:numId w:val="1003"/>
        </w:numPr>
      </w:pPr>
      <w:r>
        <w:rPr>
          <w:b/>
          <w:bCs/>
        </w:rPr>
        <w:t xml:space="preserve">Consistent Styling</w:t>
      </w:r>
      <w:r>
        <w:t xml:space="preserve">: Maintain uniform zoom levels, pitch, and bearing for similar content types</w:t>
      </w:r>
    </w:p>
    <w:p>
      <w:pPr>
        <w:pStyle w:val="Compact"/>
        <w:numPr>
          <w:ilvl w:val="0"/>
          <w:numId w:val="1003"/>
        </w:numPr>
      </w:pPr>
      <w:r>
        <w:rPr>
          <w:b/>
          <w:bCs/>
        </w:rPr>
        <w:t xml:space="preserve">Smooth Transitions</w:t>
      </w:r>
      <w:r>
        <w:t xml:space="preserve">: Use appropriate transition speeds (typically 1-3 seconds)</w:t>
      </w:r>
    </w:p>
    <w:p>
      <w:pPr>
        <w:pStyle w:val="Compact"/>
        <w:numPr>
          <w:ilvl w:val="0"/>
          <w:numId w:val="1003"/>
        </w:numPr>
      </w:pPr>
      <w:r>
        <w:rPr>
          <w:b/>
          <w:bCs/>
        </w:rPr>
        <w:t xml:space="preserve">Color Schemes</w:t>
      </w:r>
      <w:r>
        <w:t xml:space="preserve">: Choose colors that work well with your base map style</w:t>
      </w:r>
    </w:p>
    <w:p>
      <w:pPr>
        <w:pStyle w:val="Compact"/>
        <w:numPr>
          <w:ilvl w:val="0"/>
          <w:numId w:val="1003"/>
        </w:numPr>
      </w:pPr>
      <w:r>
        <w:rPr>
          <w:b/>
          <w:bCs/>
        </w:rPr>
        <w:t xml:space="preserve">Typography</w:t>
      </w:r>
      <w:r>
        <w:t xml:space="preserve">: Select readable fonts that complement your organization’s branding</w:t>
      </w:r>
    </w:p>
    <w:bookmarkEnd w:id="33"/>
    <w:bookmarkStart w:id="34" w:name="user-experience"/>
    <w:p>
      <w:pPr>
        <w:pStyle w:val="Heading3"/>
      </w:pPr>
      <w:r>
        <w:t xml:space="preserve">User Experience</w:t>
      </w:r>
    </w:p>
    <w:p>
      <w:pPr>
        <w:pStyle w:val="Compact"/>
        <w:numPr>
          <w:ilvl w:val="0"/>
          <w:numId w:val="1004"/>
        </w:numPr>
      </w:pPr>
      <w:r>
        <w:rPr>
          <w:b/>
          <w:bCs/>
        </w:rPr>
        <w:t xml:space="preserve">Logical Flow</w:t>
      </w:r>
      <w:r>
        <w:t xml:space="preserve">: Organize sections in a meaningful sequence (chronological, thematic, etc.)</w:t>
      </w:r>
    </w:p>
    <w:p>
      <w:pPr>
        <w:pStyle w:val="Compact"/>
        <w:numPr>
          <w:ilvl w:val="0"/>
          <w:numId w:val="1004"/>
        </w:numPr>
      </w:pPr>
      <w:r>
        <w:rPr>
          <w:b/>
          <w:bCs/>
        </w:rPr>
        <w:t xml:space="preserve">Clear Navigation</w:t>
      </w:r>
      <w:r>
        <w:t xml:space="preserve">: Provide obvious cues for how users should interact with the storymap</w:t>
      </w:r>
    </w:p>
    <w:p>
      <w:pPr>
        <w:pStyle w:val="Compact"/>
        <w:numPr>
          <w:ilvl w:val="0"/>
          <w:numId w:val="1004"/>
        </w:numPr>
      </w:pPr>
      <w:r>
        <w:rPr>
          <w:b/>
          <w:bCs/>
        </w:rPr>
        <w:t xml:space="preserve">Performance</w:t>
      </w:r>
      <w:r>
        <w:t xml:space="preserve">: Test on different devices and internet speeds</w:t>
      </w:r>
    </w:p>
    <w:p>
      <w:pPr>
        <w:pStyle w:val="Compact"/>
        <w:numPr>
          <w:ilvl w:val="0"/>
          <w:numId w:val="1004"/>
        </w:numPr>
      </w:pPr>
      <w:r>
        <w:rPr>
          <w:b/>
          <w:bCs/>
        </w:rPr>
        <w:t xml:space="preserve">Accessibility</w:t>
      </w:r>
      <w:r>
        <w:t xml:space="preserve">: Ensure content is accessible to users with disabilities</w:t>
      </w:r>
    </w:p>
    <w:bookmarkEnd w:id="34"/>
    <w:bookmarkEnd w:id="35"/>
    <w:bookmarkStart w:id="36" w:name="loading-external-app-files"/>
    <w:p>
      <w:pPr>
        <w:pStyle w:val="Heading2"/>
      </w:pPr>
      <w:r>
        <w:t xml:space="preserve">7 Loading External App Files</w:t>
      </w:r>
    </w:p>
    <w:p>
      <w:pPr>
        <w:pStyle w:val="FirstParagraph"/>
      </w:pPr>
      <w:r>
        <w:t xml:space="preserve">To load the complete application from an external</w:t>
      </w:r>
      <w:r>
        <w:t xml:space="preserve"> </w:t>
      </w:r>
      <w:r>
        <w:rPr>
          <w:rStyle w:val="VerbatimChar"/>
        </w:rPr>
        <w:t xml:space="preserve">app.R</w:t>
      </w:r>
      <w:r>
        <w:t xml:space="preserve"> </w:t>
      </w:r>
      <w:r>
        <w:t xml:space="preserve">file (which is cleaner for larger applications), you can modify the {shinylive} block:</w:t>
      </w:r>
    </w:p>
    <w:p>
      <w:pPr>
        <w:pStyle w:val="SourceCode"/>
      </w:pPr>
      <w:r>
        <w:rPr>
          <w:rStyle w:val="CommentTok"/>
        </w:rPr>
        <w:t xml:space="preserve"># In your index.qmd file</w:t>
      </w:r>
      <w:r>
        <w:br/>
      </w:r>
      <w:r>
        <w:rPr>
          <w:rStyle w:val="StringTok"/>
        </w:rPr>
        <w:t xml:space="preserve">```</w:t>
      </w:r>
      <w:r>
        <w:rPr>
          <w:rStyle w:val="AttributeTok"/>
        </w:rPr>
        <w:t xml:space="preserve">{shinylive-r}</w:t>
      </w:r>
      <w:r>
        <w:br/>
      </w:r>
      <w:r>
        <w:rPr>
          <w:rStyle w:val="AttributeTok"/>
        </w:rPr>
        <w:t xml:space="preserve">#| standalone: true</w:t>
      </w:r>
      <w:r>
        <w:br/>
      </w:r>
      <w:r>
        <w:rPr>
          <w:rStyle w:val="AttributeTok"/>
        </w:rPr>
        <w:t xml:space="preserve">#| viewerHeight: 600</w:t>
      </w:r>
      <w:r>
        <w:br/>
      </w:r>
      <w:r>
        <w:rPr>
          <w:rStyle w:val="AttributeTok"/>
        </w:rPr>
        <w:t xml:space="preserve">#| components: [editor, viewer]</w:t>
      </w:r>
      <w:r>
        <w:br/>
      </w:r>
      <w:r>
        <w:br/>
      </w:r>
      <w:r>
        <w:rPr>
          <w:rStyle w:val="AttributeTok"/>
        </w:rPr>
        <w:t xml:space="preserve"># Load the complete application</w:t>
      </w:r>
      <w:r>
        <w:br/>
      </w:r>
      <w:r>
        <w:rPr>
          <w:rStyle w:val="AttributeTok"/>
        </w:rPr>
        <w:t xml:space="preserve">source("app.R")</w:t>
      </w:r>
      <w:r>
        <w:br/>
      </w:r>
      <w:r>
        <w:rPr>
          <w:rStyle w:val="StringTok"/>
        </w:rPr>
        <w:t xml:space="preserve">```</w:t>
      </w:r>
    </w:p>
    <w:p>
      <w:pPr>
        <w:pStyle w:val="FirstParagraph"/>
      </w:pPr>
      <w:r>
        <w:t xml:space="preserve">This approach allows you to:</w:t>
      </w:r>
      <w:r>
        <w:t xml:space="preserve"> </w:t>
      </w:r>
      <w:r>
        <w:t xml:space="preserve">- Maintain cleaner separation between documentation and code</w:t>
      </w:r>
      <w:r>
        <w:t xml:space="preserve"> </w:t>
      </w:r>
      <w:r>
        <w:t xml:space="preserve">- Enable collaborative development on the application</w:t>
      </w:r>
      <w:r>
        <w:t xml:space="preserve"> </w:t>
      </w:r>
      <w:r>
        <w:t xml:space="preserve">- Version control your application code separately</w:t>
      </w:r>
      <w:r>
        <w:t xml:space="preserve"> </w:t>
      </w:r>
      <w:r>
        <w:t xml:space="preserve">- Reuse the application in different contexts</w:t>
      </w:r>
    </w:p>
    <w:bookmarkEnd w:id="36"/>
    <w:bookmarkStart w:id="37" w:name="conclusion"/>
    <w:p>
      <w:pPr>
        <w:pStyle w:val="Heading2"/>
      </w:pPr>
      <w:r>
        <w:t xml:space="preserve">8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7"/>
    <w:bookmarkStart w:id="42" w:name="additional-resources"/>
    <w:p>
      <w:pPr>
        <w:pStyle w:val="Heading2"/>
      </w:pPr>
      <w:r>
        <w:t xml:space="preserve">9 Additional Resources</w:t>
      </w:r>
    </w:p>
    <w:p>
      <w:pPr>
        <w:pStyle w:val="Compact"/>
        <w:numPr>
          <w:ilvl w:val="0"/>
          <w:numId w:val="1005"/>
        </w:numPr>
      </w:pPr>
      <w:hyperlink r:id="rId38">
        <w:r>
          <w:rPr>
            <w:rStyle w:val="Hyperlink"/>
          </w:rPr>
          <w:t xml:space="preserve">{mapgl} package documentation</w:t>
        </w:r>
      </w:hyperlink>
    </w:p>
    <w:p>
      <w:pPr>
        <w:pStyle w:val="Compact"/>
        <w:numPr>
          <w:ilvl w:val="0"/>
          <w:numId w:val="1005"/>
        </w:numPr>
      </w:pPr>
      <w:hyperlink r:id="rId39">
        <w:r>
          <w:rPr>
            <w:rStyle w:val="Hyperlink"/>
          </w:rPr>
          <w:t xml:space="preserve">MapLibre GL JS documentation</w:t>
        </w:r>
      </w:hyperlink>
    </w:p>
    <w:p>
      <w:pPr>
        <w:pStyle w:val="Compact"/>
        <w:numPr>
          <w:ilvl w:val="0"/>
          <w:numId w:val="1005"/>
        </w:numPr>
      </w:pPr>
      <w:hyperlink r:id="rId40">
        <w:r>
          <w:rPr>
            <w:rStyle w:val="Hyperlink"/>
          </w:rPr>
          <w:t xml:space="preserve">OpenFreeMap styles</w:t>
        </w:r>
      </w:hyperlink>
    </w:p>
    <w:p>
      <w:pPr>
        <w:pStyle w:val="Compact"/>
        <w:numPr>
          <w:ilvl w:val="0"/>
          <w:numId w:val="1005"/>
        </w:numPr>
      </w:pPr>
      <w:hyperlink r:id="rId41">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maplibre.org/maplibre-gl-js-docs/" TargetMode="External" /><Relationship Type="http://schemas.openxmlformats.org/officeDocument/2006/relationships/hyperlink" Id="rId40" Target="https://openfreemap.org/" TargetMode="External" /><Relationship Type="http://schemas.openxmlformats.org/officeDocument/2006/relationships/hyperlink" Id="rId41" Target="https://quarto.org/" TargetMode="External" /><Relationship Type="http://schemas.openxmlformats.org/officeDocument/2006/relationships/hyperlink" Id="rId38"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9" Target="https://maplibre.org/maplibre-gl-js-docs/" TargetMode="External" /><Relationship Type="http://schemas.openxmlformats.org/officeDocument/2006/relationships/hyperlink" Id="rId40" Target="https://openfreemap.org/" TargetMode="External" /><Relationship Type="http://schemas.openxmlformats.org/officeDocument/2006/relationships/hyperlink" Id="rId41" Target="https://quarto.org/" TargetMode="External" /><Relationship Type="http://schemas.openxmlformats.org/officeDocument/2006/relationships/hyperlink" Id="rId38"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2025-09-04T00:20:44Z</dcterms:created>
  <dcterms:modified xsi:type="dcterms:W3CDTF">2025-09-04T00:20:44Z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