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1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(The scraped SVG map is shown on the web version of this post.)</w:t>
      </w:r>
    </w:p>
    <w:bookmarkEnd w:id="11"/>
    <w:bookmarkStart w:id="12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2"/>
    <w:bookmarkStart w:id="13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3"/>
    <w:bookmarkStart w:id="20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map. The widget embeds every vertex in the page, so map a</w:t>
      </w:r>
      <w:r>
        <w:br/>
      </w:r>
      <w:r>
        <w:rPr>
          <w:rStyle w:val="CommentTok"/>
        </w:rPr>
        <w:t xml:space="preserve"># simplified copy (200 m tolerance). The exported GeoJSON below stays full resolution.</w:t>
      </w:r>
      <w:r>
        <w:br/>
      </w:r>
      <w:r>
        <w:rPr>
          <w:rStyle w:val="NormalTok"/>
        </w:rPr>
        <w:t xml:space="preserve">final_map_preview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final_map_utm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st_simplify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preserveTopology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(final_map_preview)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7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dc:description>Scraping a constituency map from an election results site, converting its SVG paths to GIS geometry, and georeferencing it against ward boundaries in R.</dc:description>
  <cp:keywords/>
  <dcterms:created xsi:type="dcterms:W3CDTF">2026-10-25T16:48:49Z</dcterms:created>
  <dcterms:modified xsi:type="dcterms:W3CDTF">2026-10-25T16:48:49Z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2026-01-18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mage-alt">
    <vt:lpwstr>Map of Nepal’s electoral constituencies in grey with national parks highlighted in green.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resources">
    <vt:lpwstr/>
  </property>
  <property fmtid="{D5CDD505-2E9C-101B-9397-08002B2CF9AE}" pid="21" name="subtitle">
    <vt:lpwstr>Scraping SVG, converting to GIS, and Georeferencing data with R</vt:lpwstr>
  </property>
  <property fmtid="{D5CDD505-2E9C-101B-9397-08002B2CF9AE}" pid="22" name="title-block-banner">
    <vt:lpwstr>True</vt:lpwstr>
  </property>
  <property fmtid="{D5CDD505-2E9C-101B-9397-08002B2CF9AE}" pid="23" name="toc-title">
    <vt:lpwstr>Table of contents</vt:lpwstr>
  </property>
</Properties>
</file>