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(EPSG:6207)</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5"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2025-08-09T21:29:37Z</dcterms:created>
  <dcterms:modified xsi:type="dcterms:W3CDTF">2025-08-09T21:29:37Z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number-depth">
    <vt:lpwstr>2</vt:lpwstr>
  </property>
  <property fmtid="{D5CDD505-2E9C-101B-9397-08002B2CF9AE}" pid="13" name="page-layout">
    <vt:lpwstr>article</vt:lpwstr>
  </property>
  <property fmtid="{D5CDD505-2E9C-101B-9397-08002B2CF9AE}" pid="14" name="subtitle">
    <vt:lpwstr>Using Rayshader for Advanced Geospatial Visualization</vt:lpwstr>
  </property>
  <property fmtid="{D5CDD505-2E9C-101B-9397-08002B2CF9AE}" pid="15" name="title-block-banner">
    <vt:lpwstr>True</vt:lpwstr>
  </property>
  <property fmtid="{D5CDD505-2E9C-101B-9397-08002B2CF9AE}" pid="16" name="toc-title">
    <vt:lpwstr>Table of contents</vt:lpwstr>
  </property>
</Properties>
</file>