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r>
        <w:br/>
      </w: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General</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 </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rPr>
          <w:rStyle w:val="CommentTok"/>
        </w:rPr>
        <w:t xml:space="preserve">    </w:t>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  </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rPr>
          <w:rStyle w:val="CommentTok"/>
        </w:rPr>
        <w:t xml:space="preserve">        </w:t>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rPr>
          <w:rStyle w:val="NormalTok"/>
        </w:rPr>
        <w:t xml:space="preserve">    </w:t>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rPr>
          <w:rStyle w:val="NormalTok"/>
        </w:rPr>
        <w:t xml:space="preserve">    </w:t>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t>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rPr>
          <w:rStyle w:val="NormalTok"/>
        </w:rPr>
        <w:t xml:space="preserve">    </w:t>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rPr>
          <w:rStyle w:val="NormalTok"/>
        </w:rPr>
        <w:t xml:space="preserve">    </w:t>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rPr>
          <w:rStyle w:val="NormalTok"/>
        </w:rPr>
        <w:t xml:space="preserve">    </w:t>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rPr>
          <w:rStyle w:val="NormalTok"/>
        </w:rPr>
        <w:t xml:space="preserve">    </w:t>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rPr>
          <w:rStyle w:val="NormalTok"/>
        </w:rPr>
        <w:t xml:space="preserve">    </w:t>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t>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rPr>
          <w:rStyle w:val="NormalTok"/>
        </w:rPr>
        <w:t xml:space="preserve">    </w:t>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rPr>
          <w:rStyle w:val="NormalTok"/>
        </w:rPr>
        <w:t xml:space="preserve">    </w:t>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rPr>
          <w:rStyle w:val="NormalTok"/>
        </w:rPr>
        <w:t xml:space="preserve">    </w:t>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rPr>
          <w:rStyle w:val="NormalTok"/>
        </w:rPr>
        <w:t xml:space="preserve">    </w:t>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rPr>
          <w:rStyle w:val="NormalTok"/>
        </w:rPr>
        <w:t xml:space="preserve">    </w:t>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rPr>
          <w:rStyle w:val="NormalTok"/>
        </w:rPr>
        <w:t xml:space="preserve">    </w:t>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rPr>
          <w:rStyle w:val="NormalTok"/>
        </w:rPr>
        <w:t xml:space="preserve">    </w:t>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rPr>
          <w:rStyle w:val="NormalTok"/>
        </w:rPr>
        <w:t xml:space="preserve">    </w:t>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rPr>
          <w:rStyle w:val="NormalTok"/>
        </w:rPr>
        <w:t xml:space="preserve">    </w:t>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rPr>
          <w:rStyle w:val="NormalTok"/>
        </w:rPr>
        <w:t xml:space="preserve">    </w:t>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rPr>
          <w:rStyle w:val="NormalTok"/>
        </w:rPr>
        <w:t xml:space="preserve">    </w:t>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rPr>
          <w:rStyle w:val="NormalTok"/>
        </w:rPr>
        <w:t xml:space="preserve">    </w:t>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rPr>
          <w:rStyle w:val="NormalTok"/>
        </w:rPr>
        <w:t xml:space="preserve">        </w:t>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rPr>
          <w:rStyle w:val="NormalTok"/>
        </w:rPr>
        <w:t xml:space="preserve">        </w:t>
      </w:r>
      <w:r>
        <w:br/>
      </w:r>
      <w:r>
        <w:rPr>
          <w:rStyle w:val="NormalTok"/>
        </w:rPr>
        <w:t xml:space="preserve">        interpolated </w:t>
      </w:r>
      <w:r>
        <w:rPr>
          <w:rStyle w:val="OperatorTok"/>
        </w:rPr>
        <w:t xml:space="preserve">=</w:t>
      </w:r>
      <w:r>
        <w:rPr>
          <w:rStyle w:val="NormalTok"/>
        </w:rPr>
        <w:t xml:space="preserve"> pd.DataFrame(interpolated_data)</w:t>
      </w:r>
      <w:r>
        <w:br/>
      </w:r>
      <w:r>
        <w:rPr>
          <w:rStyle w:val="NormalTok"/>
        </w:rPr>
        <w:t xml:space="preserve">    </w:t>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rPr>
          <w:rStyle w:val="NormalTok"/>
        </w:rPr>
        <w:t xml:space="preserve">    </w:t>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rPr>
          <w:rStyle w:val="NormalTok"/>
        </w:rPr>
        <w:t xml:space="preserve">    </w:t>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rPr>
          <w:rStyle w:val="NormalTok"/>
        </w:rPr>
        <w:t xml:space="preserve"> </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2025-07-08T04:26:58Z</dcterms:created>
  <dcterms:modified xsi:type="dcterms:W3CDTF">2025-07-08T04:26:58Z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