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Year SE Data Development</w:t>
      </w:r>
    </w:p>
    <w:p>
      <w:pPr>
        <w:pStyle w:val="Subtitle"/>
      </w:pPr>
      <w:r>
        <w:t xml:space="preserve">Lower Savannah Council of Governments (LSCOG) 2050 Long Range Transportation Plan</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SE Data Development</dc:title>
  <dc:creator>Pukar Bhandari</dc:creator>
  <cp:keywords/>
  <dcterms:created xsi:type="dcterms:W3CDTF">2025-08-10T20:38:49Z</dcterms:created>
  <dcterms:modified xsi:type="dcterms:W3CDTF">2025-08-10T20:38:49Z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Lower Savannah Council of Governments (LSCOG) 2050 Long Range Transportation Plan</vt:lpwstr>
  </property>
  <property fmtid="{D5CDD505-2E9C-101B-9397-08002B2CF9AE}" pid="17" name="title-block-banner">
    <vt:lpwstr>True</vt:lpwstr>
  </property>
  <property fmtid="{D5CDD505-2E9C-101B-9397-08002B2CF9AE}" pid="18" name="toc-title">
    <vt:lpwstr>Table of contents</vt:lpwstr>
  </property>
</Properties>
</file>