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20"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p>
    <w:p>
      <w:pPr>
        <w:pStyle w:val="BodyText"/>
      </w:pP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p>
    <w:p>
      <w:pPr>
        <w:pStyle w:val="BodyText"/>
      </w:pP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20"/>
    <w:bookmarkStart w:id="21" w:name="set-global-options-and-parameters"/>
    <w:p>
      <w:pPr>
        <w:pStyle w:val="Heading2"/>
      </w:pPr>
      <w:r>
        <w:t xml:space="preserve">1.2 Set global options and parameters</w:t>
      </w:r>
    </w:p>
    <w:p>
      <w:pPr>
        <w:pStyle w:val="FirstParagraph"/>
      </w:pPr>
      <w:r>
        <w:t xml:space="preserve">Configuration settings optimize performance and establish spatial consistency. The</w:t>
      </w:r>
      <w:r>
        <w:t xml:space="preserve"> </w:t>
      </w:r>
      <w:r>
        <w:rPr>
          <w:rStyle w:val="VerbatimChar"/>
        </w:rPr>
        <w:t xml:space="preserve">{tigris}</w:t>
      </w:r>
      <w:r>
        <w:t xml:space="preserve"> </w:t>
      </w:r>
      <w:r>
        <w:t xml:space="preserve">cache prevents redundant TIGER/Line shapefile downloads.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options</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 </w:t>
      </w:r>
      <w:r>
        <w:rPr>
          <w:rStyle w:val="CommentTok"/>
        </w:rPr>
        <w:t xml:space="preserve"># cache tiger/line shapefile for future use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p>
    <w:bookmarkEnd w:id="21"/>
    <w:bookmarkStart w:id="23" w:name="set-census-api-key"/>
    <w:p>
      <w:pPr>
        <w:pStyle w:val="Heading2"/>
      </w:pPr>
      <w:r>
        <w:t xml:space="preserve">1.3 Set census API key</w:t>
      </w:r>
    </w:p>
    <w:p>
      <w:pPr>
        <w:pStyle w:val="FirstParagraph"/>
      </w:pPr>
      <w:r>
        <w:t xml:space="preserve">API authentication enables access to detailed demographic and economic datasets from the Census Bureau. The key configuration supports both R and Python environments for automated data retrieval workflows.</w:t>
      </w:r>
    </w:p>
    <w:p>
      <w:pPr>
        <w:pStyle w:val="BlockText"/>
      </w:pPr>
      <w:r>
        <w:t xml:space="preserve">💡</w:t>
      </w:r>
      <w:r>
        <w:t xml:space="preserve"> </w:t>
      </w:r>
      <w:r>
        <w:rPr>
          <w:b/>
          <w:bCs/>
        </w:rPr>
        <w:t xml:space="preserve">Need a Census API key?</w:t>
      </w:r>
      <w:r>
        <w:t xml:space="preserve"> </w:t>
      </w:r>
      <w:r>
        <w:t xml:space="preserve">Get one for free at</w:t>
      </w:r>
      <w:r>
        <w:t xml:space="preserve"> </w:t>
      </w:r>
      <w:hyperlink r:id="rId22">
        <w:r>
          <w:rPr>
            <w:rStyle w:val="Hyperlink"/>
          </w:rPr>
          <w:t xml:space="preserve">census.gov/developers</w:t>
        </w:r>
      </w:hyperlink>
    </w:p>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23"/>
    <w:bookmarkStart w:id="24" w:name="project-folder"/>
    <w:p>
      <w:pPr>
        <w:pStyle w:val="Heading2"/>
      </w:pPr>
      <w:r>
        <w:t xml:space="preserve">1.4 Project folder</w:t>
      </w:r>
    </w:p>
    <w:p>
      <w:pPr>
        <w:pStyle w:val="FirstParagraph"/>
      </w:pPr>
      <w:r>
        <w:t xml:space="preserve">The centralized directory structure organizes input data, processing files, and model outputs. The standardized</w:t>
      </w:r>
      <w:r>
        <w:t xml:space="preserve"> </w:t>
      </w:r>
      <w:r>
        <w:rPr>
          <w:rStyle w:val="VerbatimChar"/>
        </w:rPr>
        <w:t xml:space="preserve">root</w:t>
      </w:r>
      <w:r>
        <w:t xml:space="preserve"> </w:t>
      </w:r>
      <w:r>
        <w:t xml:space="preserve">folder path ensures consistent file management across computing environments and team members.</w:t>
      </w:r>
    </w:p>
    <w:p>
      <w:pPr>
        <w:pStyle w:val="Heading4"/>
      </w:pPr>
      <w:r>
        <w:t xml:space="preserve"> </w:t>
      </w:r>
      <w:r>
        <w:t xml:space="preserve">R</w:t>
      </w:r>
    </w:p>
    <w:p>
      <w:pPr>
        <w:pStyle w:val="SourceCode"/>
      </w:pPr>
      <w:r>
        <w:rPr>
          <w:rStyle w:val="CommentTok"/>
        </w:rPr>
        <w:t xml:space="preserve"># Set your main data folder</w:t>
      </w:r>
      <w:r>
        <w:br/>
      </w:r>
      <w:r>
        <w:rPr>
          <w:rStyle w:val="NormalTok"/>
        </w:rPr>
        <w:t xml:space="preserve">root </w:t>
      </w:r>
      <w:r>
        <w:rPr>
          <w:rStyle w:val="OtherTok"/>
        </w:rPr>
        <w:t xml:space="preserve">&lt;-</w:t>
      </w:r>
      <w:r>
        <w:rPr>
          <w:rStyle w:val="NormalTok"/>
        </w:rPr>
        <w:t xml:space="preserve"> </w:t>
      </w:r>
      <w:r>
        <w:rPr>
          <w:rStyle w:val="StringTok"/>
        </w:rPr>
        <w:t xml:space="preserve">"M:/MA_Project/SC_LSCOG LRTP"</w:t>
      </w:r>
    </w:p>
    <w:p>
      <w:pPr>
        <w:pStyle w:val="Heading4"/>
      </w:pPr>
      <w:r>
        <w:t xml:space="preserve"> </w:t>
      </w:r>
      <w:r>
        <w:t xml:space="preserve">Python</w:t>
      </w:r>
    </w:p>
    <w:p>
      <w:pPr>
        <w:pStyle w:val="SourceCode"/>
      </w:pPr>
      <w:r>
        <w:rPr>
          <w:rStyle w:val="CommentTok"/>
        </w:rPr>
        <w:t xml:space="preserve"># Set your main data folder</w:t>
      </w:r>
      <w:r>
        <w:br/>
      </w:r>
      <w:r>
        <w:rPr>
          <w:rStyle w:val="NormalTok"/>
        </w:rPr>
        <w:t xml:space="preserve">root </w:t>
      </w:r>
      <w:r>
        <w:rPr>
          <w:rStyle w:val="OperatorTok"/>
        </w:rPr>
        <w:t xml:space="preserve">=</w:t>
      </w:r>
      <w:r>
        <w:rPr>
          <w:rStyle w:val="NormalTok"/>
        </w:rPr>
        <w:t xml:space="preserve"> </w:t>
      </w:r>
      <w:r>
        <w:rPr>
          <w:rStyle w:val="StringTok"/>
        </w:rPr>
        <w:t xml:space="preserve">"M:/MA_Project/SC_LSCOG LRTP"</w:t>
      </w:r>
    </w:p>
    <w:bookmarkEnd w:id="24"/>
    <w:bookmarkEnd w:id="25"/>
    <w:bookmarkStart w:id="28"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26"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26"/>
    <w:bookmarkStart w:id="27"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p>
    <w:p>
      <w:pPr>
        <w:pStyle w:val="BodyText"/>
      </w:pP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27"/>
    <w:bookmarkEnd w:id="28"/>
    <w:bookmarkStart w:id="42"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30"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p>
    <w:p>
      <w:pPr>
        <w:pStyle w:val="BodyText"/>
      </w:pP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p>
    <w:p>
      <w:pPr>
        <w:pStyle w:val="BlockText"/>
      </w:pPr>
      <w:r>
        <w:t xml:space="preserve">For more information on the Decennial Census data, refer to the</w:t>
      </w:r>
      <w:r>
        <w:t xml:space="preserve"> </w:t>
      </w:r>
      <w:hyperlink r:id="rId29">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30"/>
    <w:bookmarkStart w:id="32" w:name="acs-estimates"/>
    <w:p>
      <w:pPr>
        <w:pStyle w:val="Heading2"/>
      </w:pPr>
      <w:r>
        <w:t xml:space="preserve">3.2 2020 ACS estimates</w:t>
      </w:r>
    </w:p>
    <w:p>
      <w:pPr>
        <w:pStyle w:val="FirstParagraph"/>
      </w:pPr>
      <w:r>
        <w:t xml:space="preserve">The American Community Survey 5-year estimates provide household income data at the block group level. Income categories are aggregated into three broad ranges: under $15,000, $15,000-$49,999, and $50,000 and above. This stratification aligns with travel behavior research indicating distinct mobility patterns across income levels.</w:t>
      </w:r>
    </w:p>
    <w:p>
      <w:pPr>
        <w:pStyle w:val="BodyText"/>
      </w:pPr>
      <w:r>
        <w:t xml:space="preserve">The block group geography represents the finest spatial resolution available for ACS income data, providing sufficient detail for socioeconomic modeling while maintaining statistical reliability through the 5-year aggregation period.</w:t>
      </w:r>
    </w:p>
    <w:p>
      <w:pPr>
        <w:pStyle w:val="BlockText"/>
      </w:pPr>
      <w:r>
        <w:t xml:space="preserve">For more information on the ACS data, refer to the</w:t>
      </w:r>
      <w:r>
        <w:t xml:space="preserve"> </w:t>
      </w:r>
      <w:hyperlink r:id="rId31">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32"/>
    <w:bookmarkStart w:id="34"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p>
    <w:p>
      <w:pPr>
        <w:pStyle w:val="BodyText"/>
      </w:pPr>
      <w:r>
        <w:t xml:space="preserve">The 2019 reference year represents pre-pandemic employment patterns, providing a stable baseline for long-term transportation planning. Employment data at the block level enables precise spatial allocation of work destinations within the travel demand model framework.</w:t>
      </w:r>
    </w:p>
    <w:p>
      <w:pPr>
        <w:pStyle w:val="BlockText"/>
      </w:pPr>
      <w:r>
        <w:t xml:space="preserve">For more information on the LEHD data, refer to the</w:t>
      </w:r>
      <w:r>
        <w:t xml:space="preserve"> </w:t>
      </w:r>
      <w:hyperlink r:id="rId33">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34"/>
    <w:bookmarkStart w:id="41"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36"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 For ease of processing, we retrieve the CCD from the ArcGIS REST service for the 2019-2020 academic year. The dataset includes total student enrollment and full-time equivalent teacher counts for each institution within the six-county region. Public schools represent major trip generation sources for both student and employee travel, requiring precise spatial location data for accurate modeling.</w:t>
      </w:r>
    </w:p>
    <w:p>
      <w:pPr>
        <w:pStyle w:val="BlockText"/>
      </w:pPr>
      <w:r>
        <w:t xml:space="preserve">For more information on the NCES Public School data, refer to</w:t>
      </w:r>
      <w:r>
        <w:t xml:space="preserve"> </w:t>
      </w:r>
      <w:hyperlink r:id="rId35">
        <w:r>
          <w:rPr>
            <w:rStyle w:val="Hyperlink"/>
          </w:rPr>
          <w:t xml:space="preserve">CCD Online Documentation</w:t>
        </w:r>
      </w:hyperlink>
      <w:r>
        <w:t xml:space="preserve">.</w:t>
      </w:r>
    </w:p>
    <w:p>
      <w:pPr>
        <w:pStyle w:val="FirstParagraph"/>
      </w:pPr>
      <w:r>
        <w:t xml:space="preserve">To retrieve the data from ArcGIS REST service, we use the</w:t>
      </w:r>
      <w:r>
        <w:t xml:space="preserve"> </w:t>
      </w:r>
      <w:r>
        <w:rPr>
          <w:rStyle w:val="VerbatimChar"/>
        </w:rPr>
        <w:t xml:space="preserve">{arcgislayers}</w:t>
      </w:r>
      <w:r>
        <w:t xml:space="preserve"> </w:t>
      </w:r>
      <w:r>
        <w:t xml:space="preserve">package in R and create a custom function in Python to read the ArcGIS FeatureLayer or Table. This has been implemented to function similarly to the</w:t>
      </w:r>
      <w:r>
        <w:t xml:space="preserve"> </w:t>
      </w:r>
      <w:r>
        <w:rPr>
          <w:rStyle w:val="VerbatimChar"/>
        </w:rPr>
        <w:t xml:space="preserve">{arcgislayers}</w:t>
      </w:r>
      <w:r>
        <w:t xml:space="preserve"> </w:t>
      </w:r>
      <w:r>
        <w:t xml:space="preserve">package in R, allowing us to query the service with a SQL WHERE clause and return the data as a GeoDataFrame.</w:t>
      </w:r>
    </w:p>
    <w:p>
      <w:pPr>
        <w:pStyle w:val="Heading4"/>
      </w:pPr>
      <w:r>
        <w:t xml:space="preserve"> </w:t>
      </w:r>
      <w:r>
        <w:t xml:space="preserve">R</w:t>
      </w:r>
    </w:p>
    <w:p>
      <w:pPr>
        <w:pStyle w:val="SourceCode"/>
      </w:pPr>
      <w:r>
        <w:rPr>
          <w:rStyle w:val="CommentTok"/>
        </w:rPr>
        <w:t xml:space="preserve"># Public School Location data 2019-2020</w:t>
      </w:r>
      <w:r>
        <w:br/>
      </w:r>
      <w:r>
        <w:rPr>
          <w:rStyle w:val="NormalTok"/>
        </w:rPr>
        <w:t xml:space="preserve">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geometry</w:t>
      </w:r>
      <w:r>
        <w:br/>
      </w:r>
      <w:r>
        <w:rPr>
          <w:rStyle w:val="VerbatimChar"/>
        </w:rPr>
        <w:t xml:space="preserve">1               32.0 POINT (1891531 517378.5)</w:t>
      </w:r>
      <w:r>
        <w:br/>
      </w:r>
      <w:r>
        <w:rPr>
          <w:rStyle w:val="VerbatimChar"/>
        </w:rPr>
        <w:t xml:space="preserve">2               28.9 POINT (1913416 420526.6)</w:t>
      </w:r>
      <w:r>
        <w:br/>
      </w:r>
      <w:r>
        <w:rPr>
          <w:rStyle w:val="VerbatimChar"/>
        </w:rPr>
        <w:t xml:space="preserve">3               18.0 POINT (1916344 418212.2)</w:t>
      </w:r>
      <w:r>
        <w:br/>
      </w:r>
      <w:r>
        <w:rPr>
          <w:rStyle w:val="VerbatimChar"/>
        </w:rPr>
        <w:t xml:space="preserve">4               18.0 POINT (1913416 420526.6)</w:t>
      </w:r>
      <w:r>
        <w:br/>
      </w:r>
      <w:r>
        <w:rPr>
          <w:rStyle w:val="VerbatimChar"/>
        </w:rPr>
        <w:t xml:space="preserve">5               28.5 POINT (1991502 535259.1)</w:t>
      </w:r>
      <w:r>
        <w:br/>
      </w:r>
      <w:r>
        <w:rPr>
          <w:rStyle w:val="VerbatimChar"/>
        </w:rPr>
        <w:t xml:space="preserve">6               15.0 POINT (1990622 534442.6)</w:t>
      </w:r>
      <w:r>
        <w:br/>
      </w:r>
      <w:r>
        <w:rPr>
          <w:rStyle w:val="VerbatimChar"/>
        </w:rPr>
        <w:t xml:space="preserve">7               20.0   POINT (1962410 543779)</w:t>
      </w:r>
      <w:r>
        <w:br/>
      </w:r>
      <w:r>
        <w:rPr>
          <w:rStyle w:val="VerbatimChar"/>
        </w:rPr>
        <w:t xml:space="preserve">8               10.0 POINT (1956236 534420.3)</w:t>
      </w:r>
      <w:r>
        <w:br/>
      </w:r>
      <w:r>
        <w:rPr>
          <w:rStyle w:val="VerbatimChar"/>
        </w:rPr>
        <w:t xml:space="preserve">9               25.0 POINT (1960237 537023.1)</w:t>
      </w:r>
      <w:r>
        <w:br/>
      </w:r>
      <w:r>
        <w:rPr>
          <w:rStyle w:val="VerbatimChar"/>
        </w:rPr>
        <w:t xml:space="preserve">10              12.0   POINT (1894891 540093)</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br/>
      </w:r>
      <w:r>
        <w:rPr>
          <w:rStyle w:val="CommentTok"/>
        </w:rPr>
        <w:t xml:space="preserve">    Parameters:</w:t>
      </w:r>
      <w:r>
        <w:br/>
      </w:r>
      <w:r>
        <w:rPr>
          <w:rStyle w:val="CommentTok"/>
        </w:rPr>
        <w:t xml:space="preserve">    url (str): The ArcGIS REST service URL ending with /MapServer/0 or /FeatureServer/0</w:t>
      </w:r>
      <w:r>
        <w:br/>
      </w:r>
      <w:r>
        <w:rPr>
          <w:rStyle w:val="CommentTok"/>
        </w:rPr>
        <w:t xml:space="preserve">    where (str): SQL WHERE clause for filtering. Default: "1=1" (all records)</w:t>
      </w:r>
      <w:r>
        <w:br/>
      </w:r>
      <w:r>
        <w:rPr>
          <w:rStyle w:val="CommentTok"/>
        </w:rPr>
        <w:t xml:space="preserve">    outFields (str): Comma-separated field names or "*" for all fields. Default: "*"</w:t>
      </w:r>
      <w:r>
        <w:br/>
      </w:r>
      <w:r>
        <w:rPr>
          <w:rStyle w:val="CommentTok"/>
        </w:rPr>
        <w:t xml:space="preserve">    outSR (int): Output spatial reference EPSG code. Default: 4326</w:t>
      </w:r>
      <w:r>
        <w:br/>
      </w:r>
      <w:r>
        <w:rPr>
          <w:rStyle w:val="CommentTok"/>
        </w:rPr>
        <w:t xml:space="preserve">    **kwargs: Additional query parameters passed to the ArcGIS REST API</w:t>
      </w:r>
      <w:r>
        <w:br/>
      </w:r>
      <w:r>
        <w:br/>
      </w:r>
      <w:r>
        <w:rPr>
          <w:rStyle w:val="CommentTok"/>
        </w:rPr>
        <w:t xml:space="preserve">    Returns:</w:t>
      </w:r>
      <w:r>
        <w:br/>
      </w:r>
      <w:r>
        <w:rPr>
          <w:rStyle w:val="CommentTok"/>
        </w:rPr>
        <w:t xml:space="preserve">    geopandas.GeoDataFrame: Spatial data from the service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Public School Enrollment data 2019-2020</w:t>
      </w:r>
      <w:r>
        <w:br/>
      </w:r>
      <w:r>
        <w:rPr>
          <w:rStyle w:val="NormalTok"/>
        </w:rPr>
        <w:t xml:space="preserve">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w:t>
      </w:r>
      <w:r>
        <w:br/>
      </w:r>
      <w:r>
        <w:br/>
      </w:r>
      <w:r>
        <w:rPr>
          <w:rStyle w:val="CommentTok"/>
        </w:rPr>
        <w:t xml:space="preserve"># Transform CRS</w:t>
      </w:r>
      <w:r>
        <w:br/>
      </w:r>
      <w:r>
        <w:rPr>
          <w:rStyle w:val="NormalTok"/>
        </w:rPr>
        <w:t xml:space="preserve">lscog_pub_sch_enroll </w:t>
      </w:r>
      <w:r>
        <w:rPr>
          <w:rStyle w:val="OperatorTok"/>
        </w:rPr>
        <w:t xml:space="preserve">=</w:t>
      </w:r>
      <w:r>
        <w:rPr>
          <w:rStyle w:val="NormalTok"/>
        </w:rPr>
        <w:t xml:space="preserve"> lscog_pub_sch_enroll.to_crs(project_crs)</w:t>
      </w:r>
      <w:r>
        <w:br/>
      </w:r>
      <w:r>
        <w:br/>
      </w:r>
      <w:r>
        <w:rPr>
          <w:rStyle w:val="CommentTok"/>
        </w:rPr>
        <w:t xml:space="preserve"># Select and rename columns</w:t>
      </w:r>
      <w:r>
        <w:br/>
      </w:r>
      <w:r>
        <w:rPr>
          <w:rStyle w:val="NormalTok"/>
        </w:rPr>
        <w:t xml:space="preserve">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(1891532.112 517376.183)</w:t>
      </w:r>
      <w:r>
        <w:br/>
      </w:r>
      <w:r>
        <w:rPr>
          <w:rStyle w:val="VerbatimChar"/>
        </w:rPr>
        <w:t xml:space="preserve">1    450075000064  ...  POINT (1913417.281 420524.266)</w:t>
      </w:r>
      <w:r>
        <w:br/>
      </w:r>
      <w:r>
        <w:rPr>
          <w:rStyle w:val="VerbatimChar"/>
        </w:rPr>
        <w:t xml:space="preserve">2    450075001184  ...   POINT (1916345.361 418209.84)</w:t>
      </w:r>
      <w:r>
        <w:br/>
      </w:r>
      <w:r>
        <w:rPr>
          <w:rStyle w:val="VerbatimChar"/>
        </w:rPr>
        <w:t xml:space="preserve">3    450075001415  ...  POINT (1913417.281 420524.266)</w:t>
      </w:r>
      <w:r>
        <w:br/>
      </w:r>
      <w:r>
        <w:rPr>
          <w:rStyle w:val="VerbatimChar"/>
        </w:rPr>
        <w:t xml:space="preserve">4    450093000119  ...  POINT (1991503.106 535256.782)</w:t>
      </w:r>
      <w:r>
        <w:br/>
      </w:r>
      <w:r>
        <w:rPr>
          <w:rStyle w:val="VerbatimChar"/>
        </w:rPr>
        <w:t xml:space="preserve">..            ...  ...                             ...</w:t>
      </w:r>
      <w:r>
        <w:br/>
      </w:r>
      <w:r>
        <w:rPr>
          <w:rStyle w:val="VerbatimChar"/>
        </w:rPr>
        <w:t xml:space="preserve">93   450391001291  ...  POINT (2048660.583 606357.033)</w:t>
      </w:r>
      <w:r>
        <w:br/>
      </w:r>
      <w:r>
        <w:rPr>
          <w:rStyle w:val="VerbatimChar"/>
        </w:rPr>
        <w:t xml:space="preserve">94   450391001370  ...    POINT (2040865.5 608975.982)</w:t>
      </w:r>
      <w:r>
        <w:br/>
      </w:r>
      <w:r>
        <w:rPr>
          <w:rStyle w:val="VerbatimChar"/>
        </w:rPr>
        <w:t xml:space="preserve">95   450391001604  ...  POINT (2050404.085 617575.512)</w:t>
      </w:r>
      <w:r>
        <w:br/>
      </w:r>
      <w:r>
        <w:rPr>
          <w:rStyle w:val="VerbatimChar"/>
        </w:rPr>
        <w:t xml:space="preserve">96   450391001693  ...    POINT (2030130.8 597632.129)</w:t>
      </w:r>
      <w:r>
        <w:br/>
      </w:r>
      <w:r>
        <w:rPr>
          <w:rStyle w:val="VerbatimChar"/>
        </w:rPr>
        <w:t xml:space="preserve">97   450391001694  ...  POINT (2043557.083 596562.932)</w:t>
      </w:r>
      <w:r>
        <w:br/>
      </w:r>
      <w:r>
        <w:br/>
      </w:r>
      <w:r>
        <w:rPr>
          <w:rStyle w:val="VerbatimChar"/>
        </w:rPr>
        <w:t xml:space="preserve">[98 rows x 6 columns]</w:t>
      </w:r>
    </w:p>
    <w:bookmarkEnd w:id="36"/>
    <w:bookmarkStart w:id="38" w:name="private-schools"/>
    <w:p>
      <w:pPr>
        <w:pStyle w:val="Heading3"/>
      </w:pPr>
      <w:r>
        <w:t xml:space="preserve">Private schools</w:t>
      </w:r>
    </w:p>
    <w:p>
      <w:pPr>
        <w:pStyle w:val="FirstParagraph"/>
      </w:pPr>
      <w:r>
        <w:t xml:space="preserve">Private school enrollment data is accessed from the NCES Private School Universe Survey (PSS) archived dataset. The data is spatially enabled using latitude and longitude coordinates and filtered to include only institutions within the study area TAZ boundaries. Private schools contribute to the regional education trip matrix and must be incorporated alongside public institutions for comprehensive coverage.</w:t>
      </w:r>
    </w:p>
    <w:p>
      <w:pPr>
        <w:pStyle w:val="BlockText"/>
      </w:pPr>
      <w:r>
        <w:t xml:space="preserve">For more information on the NCES Private Schools data, refer to</w:t>
      </w:r>
      <w:r>
        <w:t xml:space="preserve"> </w:t>
      </w:r>
      <w:hyperlink r:id="rId37">
        <w:r>
          <w:rPr>
            <w:rStyle w:val="Hyperlink"/>
          </w:rPr>
          <w:t xml:space="preserve">PSS Online Documentation</w:t>
        </w:r>
      </w:hyperlink>
      <w:r>
        <w:t xml:space="preserve">.</w:t>
      </w:r>
    </w:p>
    <w:p>
      <w:pPr>
        <w:pStyle w:val="Heading4"/>
      </w:pPr>
      <w:r>
        <w:t xml:space="preserve"> </w:t>
      </w:r>
      <w:r>
        <w:t xml:space="preserve">R</w:t>
      </w:r>
    </w:p>
    <w:p>
      <w:pPr>
        <w:pStyle w:val="SourceCode"/>
      </w:pP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"GIS/data_external/20250315 NCES/PSS - Private/2019-20/pss1920_pu_csv.zip"</w:t>
      </w:r>
      <w:r>
        <w:br/>
      </w:r>
      <w:r>
        <w:rPr>
          <w:rStyle w:val="NormalTok"/>
        </w:rPr>
        <w:t xml:space="preserve">    ),</w:t>
      </w:r>
      <w:r>
        <w:br/>
      </w:r>
      <w:r>
        <w:rPr>
          <w:rStyle w:val="NormalTok"/>
        </w:rPr>
        <w:t xml:space="preserve">    </w:t>
      </w:r>
      <w:r>
        <w:rPr>
          <w:rStyle w:val="StringTok"/>
        </w:rPr>
        <w:t xml:space="preserve">"pss1920_pu.csv"</w:t>
      </w:r>
      <w:r>
        <w:br/>
      </w:r>
      <w:r>
        <w:rPr>
          <w:rStyle w:val="NormalTok"/>
        </w:rPr>
        <w:t xml:space="preserve">  ),</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Enrollment data 2019-2020</w:t>
      </w:r>
      <w:r>
        <w:br/>
      </w:r>
      <w:r>
        <w:rPr>
          <w:rStyle w:val="NormalTok"/>
        </w:rPr>
        <w:t xml:space="preserve">zip_path </w:t>
      </w:r>
      <w:r>
        <w:rPr>
          <w:rStyle w:val="OperatorTok"/>
        </w:rPr>
        <w:t xml:space="preserve">=</w:t>
      </w:r>
      <w:r>
        <w:rPr>
          <w:rStyle w:val="NormalTok"/>
        </w:rPr>
        <w:t xml:space="preserve"> Path(root) </w:t>
      </w:r>
      <w:r>
        <w:rPr>
          <w:rStyle w:val="OperatorTok"/>
        </w:rPr>
        <w:t xml:space="preserve">/</w:t>
      </w:r>
      <w:r>
        <w:rPr>
          <w:rStyle w:val="NormalTok"/>
        </w:rPr>
        <w:t xml:space="preserve"> </w:t>
      </w:r>
      <w:r>
        <w:rPr>
          <w:rStyle w:val="StringTok"/>
        </w:rPr>
        <w:t xml:space="preserve">"GIS/data_external/20250315 NCES/PSS - Private/2019-20/pss1920_pu_csv.zip"</w:t>
      </w:r>
      <w:r>
        <w:br/>
      </w:r>
      <w:r>
        <w:br/>
      </w:r>
      <w:r>
        <w:rPr>
          <w:rStyle w:val="ControlFlowTok"/>
        </w:rPr>
        <w:t xml:space="preserve">with</w:t>
      </w:r>
      <w:r>
        <w:rPr>
          <w:rStyle w:val="NormalTok"/>
        </w:rPr>
        <w:t xml:space="preserve"> zipfile.ZipFile(zip_path,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8"/>
    <w:bookmarkStart w:id="40"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 These institutions generate significant travel demand through student commuting, employee travel, and visitor trips, making them essential components of the regional transportation network analysis.</w:t>
      </w:r>
    </w:p>
    <w:p>
      <w:pPr>
        <w:pStyle w:val="BlockText"/>
      </w:pPr>
      <w:r>
        <w:t xml:space="preserve">For more information on the NCES Post-Secondary Education data, refer to</w:t>
      </w:r>
      <w:r>
        <w:t xml:space="preserve"> </w:t>
      </w:r>
      <w:hyperlink r:id="rId39">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Post-Secondary Location data 2019-2020</w:t>
      </w:r>
      <w:r>
        <w:br/>
      </w:r>
      <w:r>
        <w:rPr>
          <w:rStyle w:val="NormalTok"/>
        </w:rPr>
        <w:t xml:space="preserve">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First 10 features:</w:t>
      </w:r>
      <w:r>
        <w:br/>
      </w:r>
      <w:r>
        <w:rPr>
          <w:rStyle w:val="VerbatimChar"/>
        </w:rPr>
        <w:t xml:space="preserve">   OBJECTID UNITID                                               NAME</w:t>
      </w:r>
      <w:r>
        <w:br/>
      </w:r>
      <w:r>
        <w:rPr>
          <w:rStyle w:val="VerbatimChar"/>
        </w:rPr>
        <w:t xml:space="preserve">1      3411 217615                            Aiken Technical College</w:t>
      </w:r>
      <w:r>
        <w:br/>
      </w:r>
      <w:r>
        <w:rPr>
          <w:rStyle w:val="VerbatimChar"/>
        </w:rPr>
        <w:t xml:space="preserve">2      3424 217873                                 Claflin University</w:t>
      </w:r>
      <w:r>
        <w:br/>
      </w:r>
      <w:r>
        <w:rPr>
          <w:rStyle w:val="VerbatimChar"/>
        </w:rPr>
        <w:t xml:space="preserve">3      3431 217989                          Denmark Technical College</w:t>
      </w:r>
      <w:r>
        <w:br/>
      </w:r>
      <w:r>
        <w:rPr>
          <w:rStyle w:val="VerbatimChar"/>
        </w:rPr>
        <w:t xml:space="preserve">4      3439 218159 Kenneth Shuler School of Cosmetology-North Augusta</w:t>
      </w:r>
      <w:r>
        <w:br/>
      </w:r>
      <w:r>
        <w:rPr>
          <w:rStyle w:val="VerbatimChar"/>
        </w:rPr>
        <w:t xml:space="preserve">5      3448 218487               Orangeburg Calhoun Technical College</w:t>
      </w:r>
      <w:r>
        <w:br/>
      </w:r>
      <w:r>
        <w:rPr>
          <w:rStyle w:val="VerbatimChar"/>
        </w:rPr>
        <w:t xml:space="preserve">6      3451 218645                 University of South Carolina Aiken</w:t>
      </w:r>
      <w:r>
        <w:br/>
      </w:r>
      <w:r>
        <w:rPr>
          <w:rStyle w:val="VerbatimChar"/>
        </w:rPr>
        <w:t xml:space="preserve">7      3455 218681          University of South Carolina-Salkehatchie</w:t>
      </w:r>
      <w:r>
        <w:br/>
      </w:r>
      <w:r>
        <w:rPr>
          <w:rStyle w:val="VerbatimChar"/>
        </w:rPr>
        <w:t xml:space="preserve">8      3459 218733                    South Carolina State University</w:t>
      </w:r>
      <w:r>
        <w:br/>
      </w:r>
      <w:r>
        <w:rPr>
          <w:rStyle w:val="VerbatimChar"/>
        </w:rPr>
        <w:t xml:space="preserve">9      3468 218919                                   Voorhees College</w:t>
      </w:r>
      <w:r>
        <w:br/>
      </w:r>
      <w:r>
        <w:rPr>
          <w:rStyle w:val="VerbatimChar"/>
        </w:rPr>
        <w:t xml:space="preserve">10     5829 457998          Aiken School of Cosmetology and Barbering</w:t>
      </w:r>
      <w:r>
        <w:br/>
      </w:r>
      <w:r>
        <w:rPr>
          <w:rStyle w:val="VerbatimChar"/>
        </w:rPr>
        <w:t xml:space="preserve">                         STREET          CITY STATE        ZIP STFIP  CNTY</w:t>
      </w:r>
      <w:r>
        <w:br/>
      </w:r>
      <w:r>
        <w:rPr>
          <w:rStyle w:val="VerbatimChar"/>
        </w:rPr>
        <w:t xml:space="preserve">1  2276 Jefferson Davis Highway  Graniteville    SC      29829    45 45003</w:t>
      </w:r>
      <w:r>
        <w:br/>
      </w:r>
      <w:r>
        <w:rPr>
          <w:rStyle w:val="VerbatimChar"/>
        </w:rPr>
        <w:t xml:space="preserve">2           400 Magnolia Street    Orangeburg    SC 29115-4498    45 45075</w:t>
      </w:r>
      <w:r>
        <w:br/>
      </w:r>
      <w:r>
        <w:rPr>
          <w:rStyle w:val="VerbatimChar"/>
        </w:rPr>
        <w:t xml:space="preserve">3       1126 Solomon Blatt Blvd       Denmark    SC      29042    45 45009</w:t>
      </w:r>
      <w:r>
        <w:br/>
      </w:r>
      <w:r>
        <w:rPr>
          <w:rStyle w:val="VerbatimChar"/>
        </w:rPr>
        <w:t xml:space="preserve">4              1113 Knox Avenue North Augusta    SC      29841    45 45003</w:t>
      </w:r>
      <w:r>
        <w:br/>
      </w:r>
      <w:r>
        <w:rPr>
          <w:rStyle w:val="VerbatimChar"/>
        </w:rPr>
        <w:t xml:space="preserve">5        3250 Saint Matthews Rd    Orangeburg    SC 29118-8299    45 45075</w:t>
      </w:r>
      <w:r>
        <w:br/>
      </w:r>
      <w:r>
        <w:rPr>
          <w:rStyle w:val="VerbatimChar"/>
        </w:rPr>
        <w:t xml:space="preserve">6           471 University Pkwy         Aiken    SC      29801    45 45003</w:t>
      </w:r>
      <w:r>
        <w:br/>
      </w:r>
      <w:r>
        <w:rPr>
          <w:rStyle w:val="VerbatimChar"/>
        </w:rPr>
        <w:t xml:space="preserve">7         465 James Brandt Blvd     Allendale    SC 29810-0617    45 45005</w:t>
      </w:r>
      <w:r>
        <w:br/>
      </w:r>
      <w:r>
        <w:rPr>
          <w:rStyle w:val="VerbatimChar"/>
        </w:rPr>
        <w:t xml:space="preserve">8             300 College St NE    Orangeburg    SC 29117-0001    45 45075</w:t>
      </w:r>
      <w:r>
        <w:br/>
      </w:r>
      <w:r>
        <w:rPr>
          <w:rStyle w:val="VerbatimChar"/>
        </w:rPr>
        <w:t xml:space="preserve">9              481 Porter Drive       Denmark    SC      29042    45 45009</w:t>
      </w:r>
      <w:r>
        <w:br/>
      </w:r>
      <w:r>
        <w:rPr>
          <w:rStyle w:val="VerbatimChar"/>
        </w:rPr>
        <w:t xml:space="preserve">10        225 Richland Ave East         Aiken    SC      29801    45 45003</w:t>
      </w:r>
      <w:r>
        <w:br/>
      </w:r>
      <w:r>
        <w:rPr>
          <w:rStyle w:val="VerbatimChar"/>
        </w:rPr>
        <w:t xml:space="preserve">              NMCNTY LOCALE      LAT       LON  CBSA</w:t>
      </w:r>
      <w:r>
        <w:br/>
      </w:r>
      <w:r>
        <w:rPr>
          <w:rStyle w:val="VerbatimChar"/>
        </w:rPr>
        <w:t xml:space="preserve">1       Aiken County     41 33.53383 -81.84167 12260</w:t>
      </w:r>
      <w:r>
        <w:br/>
      </w:r>
      <w:r>
        <w:rPr>
          <w:rStyle w:val="VerbatimChar"/>
        </w:rPr>
        <w:t xml:space="preserve">2  Orangeburg County     32 33.49844 -80.85432 36700</w:t>
      </w:r>
      <w:r>
        <w:br/>
      </w:r>
      <w:r>
        <w:rPr>
          <w:rStyle w:val="VerbatimChar"/>
        </w:rPr>
        <w:t xml:space="preserve">3     Bamberg County     41 33.31336 -81.12363     N</w:t>
      </w:r>
      <w:r>
        <w:br/>
      </w:r>
      <w:r>
        <w:rPr>
          <w:rStyle w:val="VerbatimChar"/>
        </w:rPr>
        <w:t xml:space="preserve">4       Aiken County     21 33.49759 -81.95789 12260</w:t>
      </w:r>
      <w:r>
        <w:br/>
      </w:r>
      <w:r>
        <w:rPr>
          <w:rStyle w:val="VerbatimChar"/>
        </w:rPr>
        <w:t xml:space="preserve">5  Orangeburg County     41 33.54485 -80.82927 36700</w:t>
      </w:r>
      <w:r>
        <w:br/>
      </w:r>
      <w:r>
        <w:rPr>
          <w:rStyle w:val="VerbatimChar"/>
        </w:rPr>
        <w:t xml:space="preserve">6       Aiken County     21 33.57270 -81.76761 12260</w:t>
      </w:r>
      <w:r>
        <w:br/>
      </w:r>
      <w:r>
        <w:rPr>
          <w:rStyle w:val="VerbatimChar"/>
        </w:rPr>
        <w:t xml:space="preserve">7   Allendale County     41 33.01431 -81.30184     N</w:t>
      </w:r>
      <w:r>
        <w:br/>
      </w:r>
      <w:r>
        <w:rPr>
          <w:rStyle w:val="VerbatimChar"/>
        </w:rPr>
        <w:t xml:space="preserve">8  Orangeburg County     32 33.49797 -80.84872 36700</w:t>
      </w:r>
      <w:r>
        <w:br/>
      </w:r>
      <w:r>
        <w:rPr>
          <w:rStyle w:val="VerbatimChar"/>
        </w:rPr>
        <w:t xml:space="preserve">9     Bamberg County     32 33.30720 -81.12786     N</w:t>
      </w:r>
      <w:r>
        <w:br/>
      </w:r>
      <w:r>
        <w:rPr>
          <w:rStyle w:val="VerbatimChar"/>
        </w:rPr>
        <w:t xml:space="preserve">10      Aiken County     21 33.55954 -81.71728 12260</w:t>
      </w:r>
      <w:r>
        <w:br/>
      </w:r>
      <w:r>
        <w:rPr>
          <w:rStyle w:val="VerbatimChar"/>
        </w:rPr>
        <w:t xml:space="preserve">                           NMCBSA CBSATYPE CSA                            NMCSA</w:t>
      </w:r>
      <w:r>
        <w:br/>
      </w:r>
      <w:r>
        <w:rPr>
          <w:rStyle w:val="VerbatimChar"/>
        </w:rPr>
        <w:t xml:space="preserve">1  Augusta-Richmond County, GA-SC        1   N                                N</w:t>
      </w:r>
      <w:r>
        <w:br/>
      </w:r>
      <w:r>
        <w:rPr>
          <w:rStyle w:val="VerbatimChar"/>
        </w:rPr>
        <w:t xml:space="preserve">2                  Orangeburg, SC        2 192 Columbia-Orangeburg-Newberry, SC</w:t>
      </w:r>
      <w:r>
        <w:br/>
      </w:r>
      <w:r>
        <w:rPr>
          <w:rStyle w:val="VerbatimChar"/>
        </w:rPr>
        <w:t xml:space="preserve">3                               N        0   N                                N</w:t>
      </w:r>
      <w:r>
        <w:br/>
      </w:r>
      <w:r>
        <w:rPr>
          <w:rStyle w:val="VerbatimChar"/>
        </w:rPr>
        <w:t xml:space="preserve">4  Augusta-Richmond County, GA-SC        1   N                                N</w:t>
      </w:r>
      <w:r>
        <w:br/>
      </w:r>
      <w:r>
        <w:rPr>
          <w:rStyle w:val="VerbatimChar"/>
        </w:rPr>
        <w:t xml:space="preserve">5                  Orangeburg, SC        2 192 Columbia-Orangeburg-Newberry, SC</w:t>
      </w:r>
      <w:r>
        <w:br/>
      </w:r>
      <w:r>
        <w:rPr>
          <w:rStyle w:val="VerbatimChar"/>
        </w:rPr>
        <w:t xml:space="preserve">6  Augusta-Richmond County, GA-SC        1   N                                N</w:t>
      </w:r>
      <w:r>
        <w:br/>
      </w:r>
      <w:r>
        <w:rPr>
          <w:rStyle w:val="VerbatimChar"/>
        </w:rPr>
        <w:t xml:space="preserve">7                               N        0   N                                N</w:t>
      </w:r>
      <w:r>
        <w:br/>
      </w:r>
      <w:r>
        <w:rPr>
          <w:rStyle w:val="VerbatimChar"/>
        </w:rPr>
        <w:t xml:space="preserve">8                  Orangeburg, SC        2 192 Columbia-Orangeburg-Newberry, SC</w:t>
      </w:r>
      <w:r>
        <w:br/>
      </w:r>
      <w:r>
        <w:rPr>
          <w:rStyle w:val="VerbatimChar"/>
        </w:rPr>
        <w:t xml:space="preserve">9                               N        0   N                                N</w:t>
      </w:r>
      <w:r>
        <w:br/>
      </w:r>
      <w:r>
        <w:rPr>
          <w:rStyle w:val="VerbatimChar"/>
        </w:rPr>
        <w:t xml:space="preserve">10 Augusta-Richmond County, GA-SC        1   N                                N</w:t>
      </w:r>
      <w:r>
        <w:br/>
      </w:r>
      <w:r>
        <w:rPr>
          <w:rStyle w:val="VerbatimChar"/>
        </w:rPr>
        <w:t xml:space="preserve">   NECTA NMNECTA   CD  SLDL  SLDU SCHOOLYEAR                 geometry</w:t>
      </w:r>
      <w:r>
        <w:br/>
      </w:r>
      <w:r>
        <w:rPr>
          <w:rStyle w:val="VerbatimChar"/>
        </w:rPr>
        <w:t xml:space="preserve">1      N       N 4502 45084 45025  2019-2020 POINT (1743560 619744.3)</w:t>
      </w:r>
      <w:r>
        <w:br/>
      </w:r>
      <w:r>
        <w:rPr>
          <w:rStyle w:val="VerbatimChar"/>
        </w:rPr>
        <w:t xml:space="preserve">2      N       N 4506 45095 45039  2019-2020 POINT (2044404 605856.3)</w:t>
      </w:r>
      <w:r>
        <w:br/>
      </w:r>
      <w:r>
        <w:rPr>
          <w:rStyle w:val="VerbatimChar"/>
        </w:rPr>
        <w:t xml:space="preserve">3      N       N 4506 45090 45040  2019-2020 POINT (1962235 538509.9)</w:t>
      </w:r>
      <w:r>
        <w:br/>
      </w:r>
      <w:r>
        <w:rPr>
          <w:rStyle w:val="VerbatimChar"/>
        </w:rPr>
        <w:t xml:space="preserve">4      N       N 4502 45083 45024  2019-2020 POINT (1708029 606866.3)</w:t>
      </w:r>
      <w:r>
        <w:br/>
      </w:r>
      <w:r>
        <w:rPr>
          <w:rStyle w:val="VerbatimChar"/>
        </w:rPr>
        <w:t xml:space="preserve">5      N       N 4506 45095 45040  2019-2020 POINT (2052011 622751.3)</w:t>
      </w:r>
      <w:r>
        <w:br/>
      </w:r>
      <w:r>
        <w:rPr>
          <w:rStyle w:val="VerbatimChar"/>
        </w:rPr>
        <w:t xml:space="preserve">6      N       N 4502 45081 45025  2019-2020 POINT (1766228 633710.3)</w:t>
      </w:r>
      <w:r>
        <w:br/>
      </w:r>
      <w:r>
        <w:rPr>
          <w:rStyle w:val="VerbatimChar"/>
        </w:rPr>
        <w:t xml:space="preserve">7      N       N 4506 45091 45045  2019-2020 POINT (1907482 429827.9)</w:t>
      </w:r>
      <w:r>
        <w:br/>
      </w:r>
      <w:r>
        <w:rPr>
          <w:rStyle w:val="VerbatimChar"/>
        </w:rPr>
        <w:t xml:space="preserve">8      N       N 4506 45095 45039  2019-2020 POINT (2046110 605685.6)</w:t>
      </w:r>
      <w:r>
        <w:br/>
      </w:r>
      <w:r>
        <w:rPr>
          <w:rStyle w:val="VerbatimChar"/>
        </w:rPr>
        <w:t xml:space="preserve">9      N       N 4506 45090 45040  2019-2020 POINT (1960939 536271.9)</w:t>
      </w:r>
      <w:r>
        <w:br/>
      </w:r>
      <w:r>
        <w:rPr>
          <w:rStyle w:val="VerbatimChar"/>
        </w:rPr>
        <w:t xml:space="preserve">10     N       N 4502 45081 45026  2019-2020 POINT (1781522 628812.8)</w:t>
      </w:r>
    </w:p>
    <w:p>
      <w:pPr>
        <w:pStyle w:val="Heading4"/>
      </w:pPr>
      <w:r>
        <w:t xml:space="preserve"> </w:t>
      </w:r>
      <w:r>
        <w:t xml:space="preserve">Python</w:t>
      </w:r>
    </w:p>
    <w:p>
      <w:pPr>
        <w:pStyle w:val="SourceCode"/>
      </w:pPr>
      <w:r>
        <w:rPr>
          <w:rStyle w:val="CommentTok"/>
        </w:rPr>
        <w:t xml:space="preserve"># Post-Secondary Location data 2019-2020</w:t>
      </w:r>
      <w:r>
        <w:br/>
      </w:r>
      <w:r>
        <w:rPr>
          <w:rStyle w:val="NormalTok"/>
        </w:rPr>
        <w:t xml:space="preserve">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lscog_college_loc </w:t>
      </w:r>
      <w:r>
        <w:rPr>
          <w:rStyle w:val="OperatorTok"/>
        </w:rPr>
        <w:t xml:space="preserve">=</w:t>
      </w:r>
      <w:r>
        <w:rPr>
          <w:rStyle w:val="NormalTok"/>
        </w:rPr>
        <w:t xml:space="preserve"> lscog_college_loc.to_crs(project_crs)</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  217615  ...  2019-2020  POINT (1743561.221 619741.983)</w:t>
      </w:r>
      <w:r>
        <w:br/>
      </w:r>
      <w:r>
        <w:rPr>
          <w:rStyle w:val="VerbatimChar"/>
        </w:rPr>
        <w:t xml:space="preserve">1       3424  217873  ...  2019-2020  POINT (2044404.666 605853.958)</w:t>
      </w:r>
      <w:r>
        <w:br/>
      </w:r>
      <w:r>
        <w:rPr>
          <w:rStyle w:val="VerbatimChar"/>
        </w:rPr>
        <w:t xml:space="preserve">2       3431  217989  ...  2019-2020  POINT (1962236.326 538507.569)</w:t>
      </w:r>
      <w:r>
        <w:br/>
      </w:r>
      <w:r>
        <w:rPr>
          <w:rStyle w:val="VerbatimChar"/>
        </w:rPr>
        <w:t xml:space="preserve">3       3439  218159  ...  2019-2020  POINT (1708030.354 606863.953)</w:t>
      </w:r>
      <w:r>
        <w:br/>
      </w:r>
      <w:r>
        <w:rPr>
          <w:rStyle w:val="VerbatimChar"/>
        </w:rPr>
        <w:t xml:space="preserve">4       3448  218487  ...  2019-2020   POINT (2052011.899 622748.89)</w:t>
      </w:r>
      <w:r>
        <w:br/>
      </w:r>
      <w:r>
        <w:rPr>
          <w:rStyle w:val="VerbatimChar"/>
        </w:rPr>
        <w:t xml:space="preserve">5       3451  218645  ...  2019-2020  POINT (1766228.593 633707.888)</w:t>
      </w:r>
      <w:r>
        <w:br/>
      </w:r>
      <w:r>
        <w:rPr>
          <w:rStyle w:val="VerbatimChar"/>
        </w:rPr>
        <w:t xml:space="preserve">6       3455  218681  ...  2019-2020  POINT (1907483.079 429825.628)</w:t>
      </w:r>
      <w:r>
        <w:br/>
      </w:r>
      <w:r>
        <w:rPr>
          <w:rStyle w:val="VerbatimChar"/>
        </w:rPr>
        <w:t xml:space="preserve">7       3459  218733  ...  2019-2020  POINT (2046110.928 605683.233)</w:t>
      </w:r>
      <w:r>
        <w:br/>
      </w:r>
      <w:r>
        <w:rPr>
          <w:rStyle w:val="VerbatimChar"/>
        </w:rPr>
        <w:t xml:space="preserve">8       3468  218919  ...  2019-2020   POINT (1960940.241 536269.53)</w:t>
      </w:r>
      <w:r>
        <w:br/>
      </w:r>
      <w:r>
        <w:rPr>
          <w:rStyle w:val="VerbatimChar"/>
        </w:rPr>
        <w:t xml:space="preserve">9       5829  457998  ...  2019-2020  POINT (1781523.402 628810.398)</w:t>
      </w:r>
      <w:r>
        <w:br/>
      </w:r>
      <w:r>
        <w:rPr>
          <w:rStyle w:val="VerbatimChar"/>
        </w:rPr>
        <w:t xml:space="preserve">10      6683  488022  ...  2019-2020  POINT (2043606.983 603651.758)</w:t>
      </w:r>
      <w:r>
        <w:br/>
      </w:r>
      <w:r>
        <w:br/>
      </w:r>
      <w:r>
        <w:rPr>
          <w:rStyle w:val="VerbatimChar"/>
        </w:rPr>
        <w:t xml:space="preserve">[11 rows x 25 columns]</w:t>
      </w:r>
    </w:p>
    <w:bookmarkEnd w:id="40"/>
    <w:bookmarkEnd w:id="41"/>
    <w:bookmarkEnd w:id="42"/>
    <w:bookmarkStart w:id="46"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 This requires careful interpolation and integration of American Community Survey (ACS) estimates with Decennial Census counts to maintain spatial consistency and statistical accuracy.</w:t>
      </w:r>
    </w:p>
    <w:bookmarkStart w:id="43"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 This method ensures that socioeconomic characteristics are distributed proportionally based on residential density rather than simple geometric overlay. 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 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br/>
      </w:r>
      <w:r>
        <w:rPr>
          <w:rStyle w:val="CommentTok"/>
        </w:rPr>
        <w:t xml:space="preserve">    Transfers numeric data from source geometries to target geometries using</w:t>
      </w:r>
      <w:r>
        <w:br/>
      </w:r>
      <w:r>
        <w:rPr>
          <w:rStyle w:val="CommentTok"/>
        </w:rPr>
        <w:t xml:space="preserve">    population-weighted interpolation based on point weights (e.g., census blocks).</w:t>
      </w:r>
      <w:r>
        <w:br/>
      </w:r>
      <w:r>
        <w:br/>
      </w:r>
      <w:r>
        <w:rPr>
          <w:rStyle w:val="CommentTok"/>
        </w:rPr>
        <w:t xml:space="preserve">    Parameters:</w:t>
      </w:r>
      <w:r>
        <w:br/>
      </w:r>
      <w:r>
        <w:rPr>
          <w:rStyle w:val="CommentTok"/>
        </w:rPr>
        <w:t xml:space="preserve">    -----------</w:t>
      </w:r>
      <w:r>
        <w:br/>
      </w:r>
      <w:r>
        <w:rPr>
          <w:rStyle w:val="CommentTok"/>
        </w:rPr>
        <w:t xml:space="preserve">    from_gdf : GeoDataFrame</w:t>
      </w:r>
      <w:r>
        <w:br/>
      </w:r>
      <w:r>
        <w:rPr>
          <w:rStyle w:val="CommentTok"/>
        </w:rPr>
        <w:t xml:space="preserve">        Source geometries with numeric data to interpolate</w:t>
      </w:r>
      <w:r>
        <w:br/>
      </w:r>
      <w:r>
        <w:rPr>
          <w:rStyle w:val="CommentTok"/>
        </w:rPr>
        <w:t xml:space="preserve">    to_gdf : GeoDataFrame</w:t>
      </w:r>
      <w:r>
        <w:br/>
      </w:r>
      <w:r>
        <w:rPr>
          <w:rStyle w:val="CommentTok"/>
        </w:rPr>
        <w:t xml:space="preserve">        Target geometries to interpolate data to</w:t>
      </w:r>
      <w:r>
        <w:br/>
      </w:r>
      <w:r>
        <w:rPr>
          <w:rStyle w:val="CommentTok"/>
        </w:rPr>
        <w:t xml:space="preserve">    weights_gdf : GeoDataFrame</w:t>
      </w:r>
      <w:r>
        <w:br/>
      </w:r>
      <w:r>
        <w:rPr>
          <w:rStyle w:val="CommentTok"/>
        </w:rPr>
        <w:t xml:space="preserve">        Weight geometries (e.g., census blocks) used for interpolation.</w:t>
      </w:r>
      <w:r>
        <w:br/>
      </w:r>
      <w:r>
        <w:rPr>
          <w:rStyle w:val="CommentTok"/>
        </w:rPr>
        <w:t xml:space="preserve">        If polygons, will be converted to points. Can be the same as to_gdf.</w:t>
      </w:r>
      <w:r>
        <w:br/>
      </w:r>
      <w:r>
        <w:rPr>
          <w:rStyle w:val="CommentTok"/>
        </w:rPr>
        <w:t xml:space="preserve">    to_id : str, optional</w:t>
      </w:r>
      <w:r>
        <w:br/>
      </w:r>
      <w:r>
        <w:rPr>
          <w:rStyle w:val="CommentTok"/>
        </w:rPr>
        <w:t xml:space="preserve">        Column name for unique identifier in target geometries.</w:t>
      </w:r>
      <w:r>
        <w:br/>
      </w:r>
      <w:r>
        <w:rPr>
          <w:rStyle w:val="CommentTok"/>
        </w:rPr>
        <w:t xml:space="preserve">        If None, creates an 'id' column.</w:t>
      </w:r>
      <w:r>
        <w:br/>
      </w:r>
      <w:r>
        <w:rPr>
          <w:rStyle w:val="CommentTok"/>
        </w:rPr>
        <w:t xml:space="preserve">    extensive : bool, default True</w:t>
      </w:r>
      <w:r>
        <w:br/>
      </w:r>
      <w:r>
        <w:rPr>
          <w:rStyle w:val="CommentTok"/>
        </w:rPr>
        <w:t xml:space="preserve">        If True, return weighted sums (for counts).</w:t>
      </w:r>
      <w:r>
        <w:br/>
      </w:r>
      <w:r>
        <w:rPr>
          <w:rStyle w:val="CommentTok"/>
        </w:rPr>
        <w:t xml:space="preserve">        If False, return weighted means (for rates/percentages).</w:t>
      </w:r>
      <w:r>
        <w:br/>
      </w:r>
      <w:r>
        <w:rPr>
          <w:rStyle w:val="CommentTok"/>
        </w:rPr>
        <w:t xml:space="preserve">    weight_column : str, optional</w:t>
      </w:r>
      <w:r>
        <w:br/>
      </w:r>
      <w:r>
        <w:rPr>
          <w:rStyle w:val="CommentTok"/>
        </w:rPr>
        <w:t xml:space="preserve">        Column name in weights_gdf for weighting (e.g., 'POP', 'HH').</w:t>
      </w:r>
      <w:r>
        <w:br/>
      </w:r>
      <w:r>
        <w:rPr>
          <w:rStyle w:val="CommentTok"/>
        </w:rPr>
        <w:t xml:space="preserve">        If None, all weights are equal.</w:t>
      </w:r>
      <w:r>
        <w:br/>
      </w:r>
      <w:r>
        <w:rPr>
          <w:rStyle w:val="CommentTok"/>
        </w:rPr>
        <w:t xml:space="preserve">    weight_placement : str, default 'surface'</w:t>
      </w:r>
      <w:r>
        <w:br/>
      </w:r>
      <w:r>
        <w:rPr>
          <w:rStyle w:val="CommentTok"/>
        </w:rPr>
        <w:t xml:space="preserve">        How to convert polygons to points: 'surface' or 'centroid'</w:t>
      </w:r>
      <w:r>
        <w:br/>
      </w:r>
      <w:r>
        <w:rPr>
          <w:rStyle w:val="CommentTok"/>
        </w:rPr>
        <w:t xml:space="preserve">    crs : str or CRS object, optional</w:t>
      </w:r>
      <w:r>
        <w:br/>
      </w:r>
      <w:r>
        <w:rPr>
          <w:rStyle w:val="CommentTok"/>
        </w:rPr>
        <w:t xml:space="preserve">        Coordinate reference system to project all datasets to</w:t>
      </w:r>
      <w:r>
        <w:br/>
      </w:r>
      <w:r>
        <w:br/>
      </w:r>
      <w:r>
        <w:rPr>
          <w:rStyle w:val="CommentTok"/>
        </w:rPr>
        <w:t xml:space="preserve">    Returns:</w:t>
      </w:r>
      <w:r>
        <w:br/>
      </w:r>
      <w:r>
        <w:rPr>
          <w:rStyle w:val="CommentTok"/>
        </w:rPr>
        <w:t xml:space="preserve">    --------</w:t>
      </w:r>
      <w:r>
        <w:br/>
      </w:r>
      <w:r>
        <w:rPr>
          <w:rStyle w:val="CommentTok"/>
        </w:rPr>
        <w:t xml:space="preserve">    GeoDataFrame</w:t>
      </w:r>
      <w:r>
        <w:br/>
      </w:r>
      <w:r>
        <w:rPr>
          <w:rStyle w:val="CommentTok"/>
        </w:rPr>
        <w:t xml:space="preserve">        Target geometries with interpolated numeric values</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43"/>
    <w:bookmarkStart w:id="44"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 This join operation creates a unified dataset containing both demographic totals and detailed characteristics at the census block level. 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 The proportional allocation method redistributes income categories based on the ratio of interpolated totals to observed household counts, maintaining consistency between data sources. 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44"/>
    <w:bookmarkStart w:id="45"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 This addition provides employment counts by census block, enabling the development of trip attraction models and work-based travel pattern analysis. 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45"/>
    <w:bookmarkEnd w:id="46"/>
    <w:bookmarkStart w:id="54"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 All exports follow consistent file naming conventions and directory structures to facilitate model integration and data management workflows.</w:t>
      </w:r>
    </w:p>
    <w:bookmarkStart w:id="47"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 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Year/_raw/lscog_taz_blank.csv"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7"/>
    <w:bookmarkStart w:id="48"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 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Year/_raw/lscog_block_taz.csv"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8"/>
    <w:bookmarkStart w:id="49"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 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Year/_raw/lscog_dec_block.csv"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9"/>
    <w:bookmarkStart w:id="50"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 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Year/_raw/lscog_acs_block.csv"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0"/>
    <w:bookmarkStart w:id="51"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 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Year/_raw/lscog_emp_block.csv"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51"/>
    <w:bookmarkStart w:id="52"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 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Year/_raw/lscog_pubsch_loc.csv"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2"/>
    <w:bookmarkStart w:id="53"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 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Year/_raw/lscog_pvtsch_loc.csv"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3"/>
    <w:bookmarkEnd w:id="54"/>
    <w:bookmarkStart w:id="57"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 This spatial aggregation preserves the total counts while organizing data according to the modeling zone structure required for trip generation and distribution analysis.</w:t>
      </w:r>
    </w:p>
    <w:bookmarkStart w:id="55"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 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55"/>
    <w:bookmarkStart w:id="56"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STUDENT_COUNT_PVT TEACHER_COUNT_PVT</w:t>
      </w:r>
      <w:r>
        <w:br/>
      </w:r>
      <w:r>
        <w:rPr>
          <w:rStyle w:val="VerbatimChar"/>
        </w:rPr>
        <w:t xml:space="preserve">1               32.0                NA                NA</w:t>
      </w:r>
      <w:r>
        <w:br/>
      </w:r>
      <w:r>
        <w:rPr>
          <w:rStyle w:val="VerbatimChar"/>
        </w:rPr>
        <w:t xml:space="preserve">2               28.9                NA                NA</w:t>
      </w:r>
      <w:r>
        <w:br/>
      </w:r>
      <w:r>
        <w:rPr>
          <w:rStyle w:val="VerbatimChar"/>
        </w:rPr>
        <w:t xml:space="preserve">3               18.0                NA                NA</w:t>
      </w:r>
      <w:r>
        <w:br/>
      </w:r>
      <w:r>
        <w:rPr>
          <w:rStyle w:val="VerbatimChar"/>
        </w:rPr>
        <w:t xml:space="preserve">4               18.0                NA                NA</w:t>
      </w:r>
      <w:r>
        <w:br/>
      </w:r>
      <w:r>
        <w:rPr>
          <w:rStyle w:val="VerbatimChar"/>
        </w:rPr>
        <w:t xml:space="preserve">5               28.5                NA                NA</w:t>
      </w:r>
      <w:r>
        <w:br/>
      </w:r>
      <w:r>
        <w:rPr>
          <w:rStyle w:val="VerbatimChar"/>
        </w:rPr>
        <w:t xml:space="preserve">6               15.0                NA                NA</w:t>
      </w:r>
      <w:r>
        <w:br/>
      </w:r>
      <w:r>
        <w:rPr>
          <w:rStyle w:val="VerbatimChar"/>
        </w:rPr>
        <w:t xml:space="preserve">7               20.0                NA                NA</w:t>
      </w:r>
      <w:r>
        <w:br/>
      </w:r>
      <w:r>
        <w:rPr>
          <w:rStyle w:val="VerbatimChar"/>
        </w:rPr>
        <w:t xml:space="preserve">8               10.0                NA                NA</w:t>
      </w:r>
      <w:r>
        <w:br/>
      </w:r>
      <w:r>
        <w:rPr>
          <w:rStyle w:val="VerbatimChar"/>
        </w:rPr>
        <w:t xml:space="preserve">9               25.0                NA                NA</w:t>
      </w:r>
      <w:r>
        <w:br/>
      </w:r>
      <w:r>
        <w:rPr>
          <w:rStyle w:val="VerbatimChar"/>
        </w:rPr>
        <w:t xml:space="preserve">10              12.0                NA                NA</w:t>
      </w:r>
      <w:r>
        <w:br/>
      </w:r>
      <w:r>
        <w:rPr>
          <w:rStyle w:val="VerbatimChar"/>
        </w:rPr>
        <w:t xml:space="preserve">                   geometry STUDENT_COUNT TEACHER_COUNT</w:t>
      </w:r>
      <w:r>
        <w:br/>
      </w:r>
      <w:r>
        <w:rPr>
          <w:rStyle w:val="VerbatimChar"/>
        </w:rPr>
        <w:t xml:space="preserve">1  POINT (1891531 517378.5)           462          32.0</w:t>
      </w:r>
      <w:r>
        <w:br/>
      </w:r>
      <w:r>
        <w:rPr>
          <w:rStyle w:val="VerbatimChar"/>
        </w:rPr>
        <w:t xml:space="preserve">2  POINT (1913416 420526.6)           283          28.9</w:t>
      </w:r>
      <w:r>
        <w:br/>
      </w:r>
      <w:r>
        <w:rPr>
          <w:rStyle w:val="VerbatimChar"/>
        </w:rPr>
        <w:t xml:space="preserve">3  POINT (1916344 418212.2)           245          18.0</w:t>
      </w:r>
      <w:r>
        <w:br/>
      </w:r>
      <w:r>
        <w:rPr>
          <w:rStyle w:val="VerbatimChar"/>
        </w:rPr>
        <w:t xml:space="preserve">4  POINT (1913416 420526.6)           268          18.0</w:t>
      </w:r>
      <w:r>
        <w:br/>
      </w:r>
      <w:r>
        <w:rPr>
          <w:rStyle w:val="VerbatimChar"/>
        </w:rPr>
        <w:t xml:space="preserve">5  POINT (1991502 535259.1)           381          28.5</w:t>
      </w:r>
      <w:r>
        <w:br/>
      </w:r>
      <w:r>
        <w:rPr>
          <w:rStyle w:val="VerbatimChar"/>
        </w:rPr>
        <w:t xml:space="preserve">6  POINT (1990622 534442.6)           188          15.0</w:t>
      </w:r>
      <w:r>
        <w:br/>
      </w:r>
      <w:r>
        <w:rPr>
          <w:rStyle w:val="VerbatimChar"/>
        </w:rPr>
        <w:t xml:space="preserve">7    POINT (1962410 543779)           162          20.0</w:t>
      </w:r>
      <w:r>
        <w:br/>
      </w:r>
      <w:r>
        <w:rPr>
          <w:rStyle w:val="VerbatimChar"/>
        </w:rPr>
        <w:t xml:space="preserve">8  POINT (1956236 534420.3)           149          10.0</w:t>
      </w:r>
      <w:r>
        <w:br/>
      </w:r>
      <w:r>
        <w:rPr>
          <w:rStyle w:val="VerbatimChar"/>
        </w:rPr>
        <w:t xml:space="preserve">9  POINT (1960237 537023.1)           353          25.0</w:t>
      </w:r>
      <w:r>
        <w:br/>
      </w:r>
      <w:r>
        <w:rPr>
          <w:rStyle w:val="VerbatimChar"/>
        </w:rPr>
        <w:t xml:space="preserve">10   POINT (1894891 540093)             0          12.0</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3</w:t>
      </w:r>
      <w:r>
        <w:br/>
      </w:r>
      <w:r>
        <w:rPr>
          <w:rStyle w:val="VerbatimChar"/>
        </w:rPr>
        <w:t xml:space="preserve"> 5 11050062  12.6  11050062 Barnwell SC RURAL     45011                2</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56"/>
    <w:bookmarkEnd w:id="57"/>
    <w:bookmarkStart w:id="58"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 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8"/>
    <w:bookmarkStart w:id="62"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 These validation steps identify any discrepancies between aggregate totals and component categories that may have occurred during the interpolation or aggregation processes.</w:t>
      </w:r>
    </w:p>
    <w:bookmarkStart w:id="59"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 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9"/>
    <w:bookmarkStart w:id="60"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0"/>
    <w:bookmarkStart w:id="61"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 This comprehensive check validates the LEHD data integration and ensures that no employment is lost or double-counted during the sectoral disaggregation process.RetryClaude can make mistakes. Please double-check responses.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1"/>
    <w:bookmarkEnd w:id="62"/>
    <w:bookmarkStart w:id="63"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 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(root, </w:t>
      </w:r>
      <w:r>
        <w:rPr>
          <w:rStyle w:val="StringTok"/>
        </w:rPr>
        <w:t xml:space="preserve">"Task 1 TDM Development/Base Year/_raw/lscog_se_taz.csv"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 </w:t>
      </w:r>
      <w:r>
        <w:rPr>
          <w:rStyle w:val="OperatorTok"/>
        </w:rPr>
        <w:t xml:space="preserve">|&gt;</w:t>
      </w:r>
      <w:r>
        <w:br/>
      </w:r>
      <w:r>
        <w:rPr>
          <w:rStyle w:val="NormalTok"/>
        </w:rPr>
        <w:t xml:space="preserve">  gpd.GeoDataFrame.to_csv(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 </w:t>
      </w:r>
      <w:r>
        <w:rPr>
          <w:rStyle w:val="OperatorTok"/>
        </w:rPr>
        <w:t xml:space="preserve">|&gt;</w:t>
      </w:r>
      <w:r>
        <w:br/>
      </w:r>
      <w:r>
        <w:rPr>
          <w:rStyle w:val="NormalTok"/>
        </w:rPr>
        <w:t xml:space="preserve">  gpd.GeoDataFrame.to_file(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2025-08-30T16:31:24Z</dcterms:created>
  <dcterms:modified xsi:type="dcterms:W3CDTF">2025-08-30T16:31:24Z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header-includes">
    <vt:lpwstr/>
  </property>
  <property fmtid="{D5CDD505-2E9C-101B-9397-08002B2CF9AE}" pid="12" name="image">
    <vt:lpwstr>lscog_taz.png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Lower Savannah Council of Governments (LSCOG) 2050 Long Range Transportation Plan</vt:lpwstr>
  </property>
  <property fmtid="{D5CDD505-2E9C-101B-9397-08002B2CF9AE}" pid="21" name="title-block-banner">
    <vt:lpwstr>True</vt:lpwstr>
  </property>
  <property fmtid="{D5CDD505-2E9C-101B-9397-08002B2CF9AE}" pid="22" name="toc-title">
    <vt:lpwstr>Table of contents</vt:lpwstr>
  </property>
</Properties>
</file>