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8E1" w:rsidRDefault="00154CA2">
      <w:pPr>
        <w:rPr>
          <w:lang w:val="en-US"/>
        </w:rPr>
      </w:pPr>
      <w:r>
        <w:rPr>
          <w:lang w:val="en-US"/>
        </w:rPr>
        <w:t xml:space="preserve">One bond coupling </w:t>
      </w:r>
    </w:p>
    <w:p w:rsidR="00154CA2" w:rsidRDefault="00154CA2">
      <w:pPr>
        <w:rPr>
          <w:lang w:val="en-US"/>
        </w:rPr>
      </w:pPr>
      <w:r>
        <w:t>A one-bond coupling happens when two nuclei that have spin are connected by a single chemical bond. The two bonding electrons tend to stay apart from each other. When one electron is closer to nucleus A, the other is usually closer to nucleus B. According to the Pauli Principle, two electrons in the same orbital must have opposite spins. Because of this, the Dirac model suggests that the most stable arrangement is when the spins of the two nuclei are also opposite. For example, in a ¹³C–¹H bond, the spin of the ¹³C nucleus points in the opposite direction to the spin of the hydrogen nucleus. This opposite-spin arrangement is common in bonds where both atoms have spin-active nuclei, such as ¹H–¹H and ³¹P–¹H bonds.</w:t>
      </w:r>
    </w:p>
    <w:p w:rsidR="00154CA2" w:rsidRDefault="00154CA2">
      <w:pPr>
        <w:rPr>
          <w:lang w:val="en-US"/>
        </w:rPr>
      </w:pPr>
    </w:p>
    <w:p w:rsidR="00154CA2" w:rsidRDefault="00154CA2">
      <w:pPr>
        <w:rPr>
          <w:lang w:val="en-US"/>
        </w:rPr>
      </w:pPr>
      <w:r>
        <w:rPr>
          <w:lang w:val="en-US"/>
        </w:rPr>
        <w:t xml:space="preserve">Two bond coupling </w:t>
      </w:r>
    </w:p>
    <w:p w:rsidR="00154CA2" w:rsidRDefault="00154CA2">
      <w:pPr>
        <w:rPr>
          <w:lang w:val="en-US"/>
        </w:rPr>
      </w:pPr>
      <w:r>
        <w:t xml:space="preserve">Two-bond coupling is very common in NMR spectroscopy. It is usually called </w:t>
      </w:r>
      <w:r>
        <w:rPr>
          <w:rStyle w:val="Strong"/>
        </w:rPr>
        <w:t>geminal coupling</w:t>
      </w:r>
      <w:r>
        <w:t xml:space="preserve"> because the two interacting nuclei are attached to the same central atom (the word </w:t>
      </w:r>
      <w:r>
        <w:rPr>
          <w:rStyle w:val="Emphasis"/>
        </w:rPr>
        <w:t>geminal</w:t>
      </w:r>
      <w:r>
        <w:t xml:space="preserve"> comes from the Latin </w:t>
      </w:r>
      <w:r>
        <w:rPr>
          <w:rStyle w:val="Emphasis"/>
        </w:rPr>
        <w:t>gemini</w:t>
      </w:r>
      <w:r>
        <w:t xml:space="preserve">, meaning “twins”). Two-bond coupling constants are written as </w:t>
      </w:r>
      <w:r>
        <w:rPr>
          <w:rStyle w:val="Strong"/>
        </w:rPr>
        <w:t>²J</w:t>
      </w:r>
      <w:r>
        <w:t xml:space="preserve">. In carbon-containing compounds, this type of coupling occurs when two or more spin-active nuclei are bonded to the same carbon atom. The values of two-bond coupling constants are generally smaller than one-bond coupling constants, although there are exceptions. A common example is the </w:t>
      </w:r>
      <w:r>
        <w:rPr>
          <w:rStyle w:val="Strong"/>
        </w:rPr>
        <w:t>H–C–H</w:t>
      </w:r>
      <w:r>
        <w:t xml:space="preserve"> coupling, which often has a negative coupling constant, but this is not always the case.</w:t>
      </w:r>
    </w:p>
    <w:p w:rsidR="00154CA2" w:rsidRDefault="00154CA2">
      <w:pPr>
        <w:rPr>
          <w:lang w:val="en-US"/>
        </w:rPr>
      </w:pPr>
    </w:p>
    <w:p w:rsidR="00154CA2" w:rsidRDefault="00154CA2">
      <w:pPr>
        <w:rPr>
          <w:lang w:val="en-US"/>
        </w:rPr>
      </w:pPr>
      <w:r>
        <w:rPr>
          <w:lang w:val="en-US"/>
        </w:rPr>
        <w:t xml:space="preserve">Three bond coupling </w:t>
      </w:r>
    </w:p>
    <w:p w:rsidR="00154CA2" w:rsidRDefault="00154CA2">
      <w:pPr>
        <w:rPr>
          <w:lang w:val="en-US"/>
        </w:rPr>
      </w:pPr>
      <w:r>
        <w:t xml:space="preserve">In a typical hydrocarbon, the spin of a hydrogen atom in one C–H bond interacts with the spins of hydrogen atoms on neighboring carbon atoms. These interactions are called </w:t>
      </w:r>
      <w:r>
        <w:rPr>
          <w:rStyle w:val="Strong"/>
        </w:rPr>
        <w:t>vicinal couplings</w:t>
      </w:r>
      <w:r>
        <w:t xml:space="preserve"> because the hydrogens are attached to adjacent carbons (</w:t>
      </w:r>
      <w:r>
        <w:rPr>
          <w:rStyle w:val="Emphasis"/>
        </w:rPr>
        <w:t>vicinus</w:t>
      </w:r>
      <w:r>
        <w:t xml:space="preserve"> is a Latin word meaning “neighbor”). Vicinal couplings occur through </w:t>
      </w:r>
      <w:r>
        <w:rPr>
          <w:rStyle w:val="Strong"/>
        </w:rPr>
        <w:t>three bonds</w:t>
      </w:r>
      <w:r>
        <w:t xml:space="preserve"> (H–C–C–H) and their coupling constants are represented by </w:t>
      </w:r>
      <w:r>
        <w:rPr>
          <w:rStyle w:val="Strong"/>
        </w:rPr>
        <w:t>³J</w:t>
      </w:r>
      <w:r>
        <w:t xml:space="preserve">. In simple aliphatic hydrocarbon chains, these three-bond couplings cause the spin–spin splitting patterns observed in NMR spectra, which usually follow the </w:t>
      </w:r>
      <w:r>
        <w:rPr>
          <w:rStyle w:val="Strong"/>
        </w:rPr>
        <w:t>n + 1 rule</w:t>
      </w:r>
      <w:r>
        <w:t>.</w:t>
      </w:r>
    </w:p>
    <w:p w:rsidR="002C6229" w:rsidRDefault="002C6229">
      <w:pPr>
        <w:rPr>
          <w:lang w:val="en-US"/>
        </w:rPr>
      </w:pPr>
    </w:p>
    <w:p w:rsidR="002C6229" w:rsidRDefault="002C6229">
      <w:pPr>
        <w:rPr>
          <w:lang w:val="en-US"/>
        </w:rPr>
      </w:pPr>
      <w:r>
        <w:rPr>
          <w:lang w:val="en-US"/>
        </w:rPr>
        <w:t xml:space="preserve">Long range coupling </w:t>
      </w:r>
    </w:p>
    <w:p w:rsidR="002C6229" w:rsidRDefault="002C6229">
      <w:pPr>
        <w:rPr>
          <w:lang w:val="en-US"/>
        </w:rPr>
      </w:pPr>
      <w:r>
        <w:t xml:space="preserve">Coupling between protons that are separated by </w:t>
      </w:r>
      <w:r>
        <w:rPr>
          <w:rStyle w:val="Strong"/>
        </w:rPr>
        <w:t>four or more covalent bonds</w:t>
      </w:r>
      <w:r>
        <w:t xml:space="preserve"> is less common and is known as </w:t>
      </w:r>
      <w:r>
        <w:rPr>
          <w:rStyle w:val="Strong"/>
        </w:rPr>
        <w:t>long-range coupling</w:t>
      </w:r>
      <w:r>
        <w:t xml:space="preserve">. Long-range coupling occurs only in special situations and is often found in </w:t>
      </w:r>
      <w:r>
        <w:rPr>
          <w:rStyle w:val="Strong"/>
        </w:rPr>
        <w:t>allylic compounds</w:t>
      </w:r>
      <w:r>
        <w:t xml:space="preserve">, </w:t>
      </w:r>
      <w:r>
        <w:rPr>
          <w:rStyle w:val="Strong"/>
        </w:rPr>
        <w:t>aromatic rings</w:t>
      </w:r>
      <w:r>
        <w:t xml:space="preserve">, and </w:t>
      </w:r>
      <w:r>
        <w:rPr>
          <w:rStyle w:val="Strong"/>
        </w:rPr>
        <w:t>rigid bicyclic structures</w:t>
      </w:r>
      <w:r>
        <w:t>.</w:t>
      </w:r>
    </w:p>
    <w:p w:rsidR="002C6229" w:rsidRDefault="002C6229">
      <w:pPr>
        <w:rPr>
          <w:lang w:val="en-US"/>
        </w:rPr>
      </w:pPr>
    </w:p>
    <w:p w:rsidR="002C6229" w:rsidRDefault="002C6229">
      <w:pPr>
        <w:rPr>
          <w:lang w:val="en-US"/>
        </w:rPr>
      </w:pPr>
      <w:proofErr w:type="spellStart"/>
      <w:r>
        <w:rPr>
          <w:lang w:val="en-US"/>
        </w:rPr>
        <w:t>Propgylic</w:t>
      </w:r>
      <w:proofErr w:type="spellEnd"/>
      <w:r>
        <w:rPr>
          <w:lang w:val="en-US"/>
        </w:rPr>
        <w:t xml:space="preserve"> coupling </w:t>
      </w:r>
    </w:p>
    <w:p w:rsidR="00C767F1" w:rsidRPr="00C767F1" w:rsidRDefault="002C6229">
      <w:pPr>
        <w:rPr>
          <w:lang w:val="en-US"/>
        </w:rPr>
      </w:pPr>
      <w:r>
        <w:t xml:space="preserve">In </w:t>
      </w:r>
      <w:r>
        <w:rPr>
          <w:rStyle w:val="Strong"/>
        </w:rPr>
        <w:t>propargylic coupling</w:t>
      </w:r>
      <w:r>
        <w:t xml:space="preserve">, the C–H </w:t>
      </w:r>
      <w:r>
        <w:rPr>
          <w:rStyle w:val="Strong"/>
        </w:rPr>
        <w:t>s orbital</w:t>
      </w:r>
      <w:r>
        <w:t xml:space="preserve"> on the carbon atom next to the triple bond (the </w:t>
      </w:r>
      <w:r>
        <w:rPr>
          <w:rStyle w:val="Strong"/>
        </w:rPr>
        <w:t>α-carbon</w:t>
      </w:r>
      <w:r>
        <w:t xml:space="preserve">) can partially overlap with the </w:t>
      </w:r>
      <w:r>
        <w:rPr>
          <w:rStyle w:val="Strong"/>
        </w:rPr>
        <w:t>π-electron system</w:t>
      </w:r>
      <w:r>
        <w:t xml:space="preserve"> of the alkyne. This happens because a carbon–carbon triple bond contains </w:t>
      </w:r>
      <w:r>
        <w:rPr>
          <w:rStyle w:val="Strong"/>
        </w:rPr>
        <w:t>two perpendicular π bonds</w:t>
      </w:r>
      <w:r>
        <w:t>, which create a cylindrical region of electron density around the C≡C bond axis. As a result, spin information can be transmitted through this electron cloud, allowing coupling between nuclei even over a longer distance.</w:t>
      </w:r>
      <w:r w:rsidR="00C767F1">
        <w:rPr>
          <w:lang w:val="en-US"/>
        </w:rPr>
        <w:t xml:space="preserve">       </w:t>
      </w:r>
      <w:proofErr w:type="spellStart"/>
      <w:proofErr w:type="gramStart"/>
      <w:r w:rsidR="00C767F1">
        <w:rPr>
          <w:lang w:val="en-US"/>
        </w:rPr>
        <w:t>propyen</w:t>
      </w:r>
      <w:proofErr w:type="spellEnd"/>
      <w:proofErr w:type="gramEnd"/>
    </w:p>
    <w:p w:rsidR="00953AFB" w:rsidRDefault="00C767F1">
      <w:pPr>
        <w:rPr>
          <w:lang w:val="en-US"/>
        </w:rPr>
      </w:pPr>
      <w:proofErr w:type="spellStart"/>
      <w:r>
        <w:rPr>
          <w:lang w:val="en-US"/>
        </w:rPr>
        <w:lastRenderedPageBreak/>
        <w:t>Homoallylic</w:t>
      </w:r>
      <w:proofErr w:type="spellEnd"/>
      <w:r>
        <w:rPr>
          <w:lang w:val="en-US"/>
        </w:rPr>
        <w:t xml:space="preserve"> coupling</w:t>
      </w:r>
    </w:p>
    <w:p w:rsidR="00953AFB" w:rsidRDefault="00953AFB">
      <w:pPr>
        <w:rPr>
          <w:lang w:val="en-US"/>
        </w:rPr>
      </w:pPr>
      <w:r>
        <w:rPr>
          <w:rStyle w:val="Strong"/>
        </w:rPr>
        <w:t>Homoallylic coupling</w:t>
      </w:r>
      <w:r>
        <w:t xml:space="preserve"> is a type of </w:t>
      </w:r>
      <w:r>
        <w:rPr>
          <w:rStyle w:val="Strong"/>
        </w:rPr>
        <w:t>long-range coupling</w:t>
      </w:r>
      <w:r>
        <w:t xml:space="preserve"> that occurs across </w:t>
      </w:r>
      <w:r>
        <w:rPr>
          <w:rStyle w:val="Strong"/>
        </w:rPr>
        <w:t>five bonds (⁵J)</w:t>
      </w:r>
      <w:r>
        <w:t xml:space="preserve">. Because the interacting nuclei are farther apart, homoallylic coupling is usually </w:t>
      </w:r>
      <w:r>
        <w:rPr>
          <w:rStyle w:val="Strong"/>
        </w:rPr>
        <w:t>weaker than allylic coupling (⁴J)</w:t>
      </w:r>
      <w:r>
        <w:t xml:space="preserve">. It is generally not observed unless the </w:t>
      </w:r>
      <w:r>
        <w:rPr>
          <w:rStyle w:val="Strong"/>
        </w:rPr>
        <w:t>C–H sigma (s) bonds on both sides of the double bond are aligned parallel to the double bond’s π orbital at the same time</w:t>
      </w:r>
      <w:r>
        <w:t>. This alignment allows the spin interaction to be transmitted more effectively through the π-electron system, making the coupling detectable.</w:t>
      </w:r>
    </w:p>
    <w:p w:rsidR="00C767F1" w:rsidRDefault="00C767F1">
      <w:pPr>
        <w:rPr>
          <w:lang w:val="en-US"/>
        </w:rPr>
      </w:pPr>
      <w:r>
        <w:t>1,4-cyclohexadiene and 6-methyl-3,4-dihydro-2H-pyran both have fairly large homoallylic couplings</w:t>
      </w:r>
    </w:p>
    <w:p w:rsidR="00C767F1" w:rsidRDefault="00C767F1">
      <w:pPr>
        <w:rPr>
          <w:lang w:val="en-US"/>
        </w:rPr>
      </w:pPr>
    </w:p>
    <w:p w:rsidR="00C767F1" w:rsidRDefault="00C767F1">
      <w:pPr>
        <w:rPr>
          <w:lang w:val="en-US"/>
        </w:rPr>
      </w:pPr>
      <w:proofErr w:type="spellStart"/>
      <w:r>
        <w:rPr>
          <w:lang w:val="en-US"/>
        </w:rPr>
        <w:t>Homoprogyllic</w:t>
      </w:r>
      <w:proofErr w:type="spellEnd"/>
      <w:r>
        <w:rPr>
          <w:lang w:val="en-US"/>
        </w:rPr>
        <w:t xml:space="preserve"> coupling</w:t>
      </w:r>
    </w:p>
    <w:p w:rsidR="00C767F1" w:rsidRDefault="00C767F1" w:rsidP="00C767F1">
      <w:pPr>
        <w:pStyle w:val="NormalWeb"/>
      </w:pPr>
      <w:r>
        <w:t xml:space="preserve">homopropargylic coupling is usually observed because the </w:t>
      </w:r>
      <w:r>
        <w:rPr>
          <w:rStyle w:val="Strong"/>
        </w:rPr>
        <w:t>C–H bond on the carbon next to the triple bond can overlap with the alkyne π-electron system in almost all molecular conformations</w:t>
      </w:r>
      <w:r>
        <w:t>.</w:t>
      </w:r>
    </w:p>
    <w:p w:rsidR="00C767F1" w:rsidRDefault="00C767F1" w:rsidP="00C767F1">
      <w:pPr>
        <w:pStyle w:val="NormalWeb"/>
      </w:pPr>
      <w:r>
        <w:t xml:space="preserve">This overlap allows spin information to be transmitted efficiently through the triple bond, producing </w:t>
      </w:r>
      <w:r>
        <w:rPr>
          <w:rStyle w:val="Strong"/>
        </w:rPr>
        <w:t>larger coupling constants</w:t>
      </w:r>
      <w:r>
        <w:t xml:space="preserve"> than those typically seen for homoallylic coupling.</w:t>
      </w:r>
    </w:p>
    <w:p w:rsidR="00C767F1" w:rsidRDefault="00406E1C">
      <w:pPr>
        <w:rPr>
          <w:lang w:val="en-US"/>
        </w:rPr>
      </w:pPr>
      <w:r>
        <w:rPr>
          <w:lang w:val="en-US"/>
        </w:rPr>
        <w:t xml:space="preserve">Alkyne </w:t>
      </w:r>
    </w:p>
    <w:p w:rsidR="00406E1C" w:rsidRDefault="00406E1C">
      <w:pPr>
        <w:rPr>
          <w:lang w:val="en-US"/>
        </w:rPr>
      </w:pPr>
    </w:p>
    <w:p w:rsidR="00406E1C" w:rsidRDefault="00406E1C">
      <w:pPr>
        <w:rPr>
          <w:lang w:val="en-US"/>
        </w:rPr>
      </w:pPr>
      <w:r>
        <w:rPr>
          <w:lang w:val="en-US"/>
        </w:rPr>
        <w:t>W coupling</w:t>
      </w:r>
    </w:p>
    <w:p w:rsidR="00406E1C" w:rsidRPr="00406E1C" w:rsidRDefault="00406E1C" w:rsidP="00406E1C">
      <w:pPr>
        <w:spacing w:before="100" w:beforeAutospacing="1" w:after="100" w:afterAutospacing="1" w:line="240" w:lineRule="auto"/>
        <w:rPr>
          <w:rFonts w:ascii="Times New Roman" w:eastAsia="Times New Roman" w:hAnsi="Times New Roman" w:cs="Times New Roman"/>
          <w:sz w:val="24"/>
          <w:szCs w:val="24"/>
          <w:lang/>
        </w:rPr>
      </w:pPr>
      <w:r w:rsidRPr="00406E1C">
        <w:rPr>
          <w:rFonts w:ascii="Times New Roman" w:eastAsia="Times New Roman" w:hAnsi="Times New Roman" w:cs="Times New Roman"/>
          <w:b/>
          <w:bCs/>
          <w:sz w:val="24"/>
          <w:szCs w:val="24"/>
          <w:lang/>
        </w:rPr>
        <w:t>W coupling is a four-bond (⁴J) long-range coupling between two protons that occurs when the atoms between them are arranged in a W-shaped geometry, allowing spin information to pass through the molecule.</w:t>
      </w:r>
    </w:p>
    <w:p w:rsidR="00406E1C" w:rsidRPr="00406E1C" w:rsidRDefault="00406E1C" w:rsidP="00406E1C">
      <w:pPr>
        <w:spacing w:before="100" w:beforeAutospacing="1" w:after="100" w:afterAutospacing="1" w:line="240" w:lineRule="auto"/>
        <w:rPr>
          <w:rFonts w:ascii="Times New Roman" w:eastAsia="Times New Roman" w:hAnsi="Times New Roman" w:cs="Times New Roman"/>
          <w:sz w:val="24"/>
          <w:szCs w:val="24"/>
          <w:lang/>
        </w:rPr>
      </w:pPr>
      <w:r w:rsidRPr="00406E1C">
        <w:rPr>
          <w:rFonts w:ascii="Times New Roman" w:eastAsia="Times New Roman" w:hAnsi="Times New Roman" w:cs="Times New Roman"/>
          <w:sz w:val="24"/>
          <w:szCs w:val="24"/>
          <w:lang/>
        </w:rPr>
        <w:t>It is commonly observed in:</w:t>
      </w:r>
    </w:p>
    <w:p w:rsidR="00406E1C" w:rsidRPr="00406E1C" w:rsidRDefault="00406E1C" w:rsidP="00406E1C">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06E1C">
        <w:rPr>
          <w:rFonts w:ascii="Times New Roman" w:eastAsia="Times New Roman" w:hAnsi="Times New Roman" w:cs="Times New Roman"/>
          <w:sz w:val="24"/>
          <w:szCs w:val="24"/>
          <w:lang/>
        </w:rPr>
        <w:t xml:space="preserve">Alkenes </w:t>
      </w:r>
    </w:p>
    <w:p w:rsidR="00406E1C" w:rsidRPr="00406E1C" w:rsidRDefault="00406E1C" w:rsidP="00406E1C">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06E1C">
        <w:rPr>
          <w:rFonts w:ascii="Times New Roman" w:eastAsia="Times New Roman" w:hAnsi="Times New Roman" w:cs="Times New Roman"/>
          <w:sz w:val="24"/>
          <w:szCs w:val="24"/>
          <w:lang/>
        </w:rPr>
        <w:t xml:space="preserve">Cyclic compounds </w:t>
      </w:r>
    </w:p>
    <w:p w:rsidR="00406E1C" w:rsidRPr="00406E1C" w:rsidRDefault="00406E1C" w:rsidP="00406E1C">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06E1C">
        <w:rPr>
          <w:rFonts w:ascii="Times New Roman" w:eastAsia="Times New Roman" w:hAnsi="Times New Roman" w:cs="Times New Roman"/>
          <w:sz w:val="24"/>
          <w:szCs w:val="24"/>
          <w:lang/>
        </w:rPr>
        <w:t xml:space="preserve">Rigid ring systems where the W-shaped arrangement is maintained. </w:t>
      </w:r>
    </w:p>
    <w:p w:rsidR="00406E1C" w:rsidRDefault="00406E1C">
      <w:pPr>
        <w:rPr>
          <w:lang w:val="en-US"/>
        </w:rPr>
      </w:pPr>
    </w:p>
    <w:p w:rsidR="00406E1C" w:rsidRDefault="00406E1C">
      <w:pPr>
        <w:rPr>
          <w:lang w:val="en-US"/>
        </w:rPr>
      </w:pPr>
      <w:r>
        <w:rPr>
          <w:lang w:val="en-US"/>
        </w:rPr>
        <w:br w:type="page"/>
      </w:r>
    </w:p>
    <w:p w:rsidR="00406E1C" w:rsidRPr="00C767F1" w:rsidRDefault="00406E1C">
      <w:pPr>
        <w:rPr>
          <w:lang w:val="en-US"/>
        </w:rPr>
      </w:pPr>
      <w:r>
        <w:rPr>
          <w:noProof/>
          <w:lang/>
        </w:rPr>
        <w:lastRenderedPageBreak/>
        <w:drawing>
          <wp:inline distT="0" distB="0" distL="0" distR="0">
            <wp:extent cx="5731510" cy="20993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82836.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099310"/>
                    </a:xfrm>
                    <a:prstGeom prst="rect">
                      <a:avLst/>
                    </a:prstGeom>
                  </pic:spPr>
                </pic:pic>
              </a:graphicData>
            </a:graphic>
          </wp:inline>
        </w:drawing>
      </w:r>
      <w:bookmarkStart w:id="0" w:name="_GoBack"/>
      <w:r>
        <w:rPr>
          <w:noProof/>
          <w:lang/>
        </w:rPr>
        <w:drawing>
          <wp:inline distT="0" distB="0" distL="0" distR="0">
            <wp:extent cx="5731510" cy="36963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8284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bookmarkEnd w:id="0"/>
    </w:p>
    <w:p w:rsidR="00154CA2" w:rsidRDefault="00154CA2">
      <w:pPr>
        <w:rPr>
          <w:lang w:val="en-US"/>
        </w:rPr>
      </w:pPr>
    </w:p>
    <w:p w:rsidR="00154CA2" w:rsidRPr="00154CA2" w:rsidRDefault="00154CA2">
      <w:pPr>
        <w:rPr>
          <w:lang w:val="en-US"/>
        </w:rPr>
      </w:pPr>
    </w:p>
    <w:sectPr w:rsidR="00154CA2" w:rsidRPr="00154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F06A7A"/>
    <w:multiLevelType w:val="multilevel"/>
    <w:tmpl w:val="1FC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CA2"/>
    <w:rsid w:val="00154CA2"/>
    <w:rsid w:val="002C6229"/>
    <w:rsid w:val="00406E1C"/>
    <w:rsid w:val="00953AFB"/>
    <w:rsid w:val="00C767F1"/>
    <w:rsid w:val="00D858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54CA2"/>
    <w:rPr>
      <w:b/>
      <w:bCs/>
    </w:rPr>
  </w:style>
  <w:style w:type="character" w:styleId="Emphasis">
    <w:name w:val="Emphasis"/>
    <w:basedOn w:val="DefaultParagraphFont"/>
    <w:uiPriority w:val="20"/>
    <w:qFormat/>
    <w:rsid w:val="00154CA2"/>
    <w:rPr>
      <w:i/>
      <w:iCs/>
    </w:rPr>
  </w:style>
  <w:style w:type="paragraph" w:styleId="NormalWeb">
    <w:name w:val="Normal (Web)"/>
    <w:basedOn w:val="Normal"/>
    <w:uiPriority w:val="99"/>
    <w:semiHidden/>
    <w:unhideWhenUsed/>
    <w:rsid w:val="00C767F1"/>
    <w:pPr>
      <w:spacing w:before="100" w:beforeAutospacing="1" w:after="100" w:afterAutospacing="1" w:line="240" w:lineRule="auto"/>
    </w:pPr>
    <w:rPr>
      <w:rFonts w:ascii="Times New Roman" w:eastAsia="Times New Roman" w:hAnsi="Times New Roman" w:cs="Times New Roman"/>
      <w:sz w:val="24"/>
      <w:szCs w:val="24"/>
      <w:lang/>
    </w:rPr>
  </w:style>
  <w:style w:type="paragraph" w:styleId="BalloonText">
    <w:name w:val="Balloon Text"/>
    <w:basedOn w:val="Normal"/>
    <w:link w:val="BalloonTextChar"/>
    <w:uiPriority w:val="99"/>
    <w:semiHidden/>
    <w:unhideWhenUsed/>
    <w:rsid w:val="00406E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E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54CA2"/>
    <w:rPr>
      <w:b/>
      <w:bCs/>
    </w:rPr>
  </w:style>
  <w:style w:type="character" w:styleId="Emphasis">
    <w:name w:val="Emphasis"/>
    <w:basedOn w:val="DefaultParagraphFont"/>
    <w:uiPriority w:val="20"/>
    <w:qFormat/>
    <w:rsid w:val="00154CA2"/>
    <w:rPr>
      <w:i/>
      <w:iCs/>
    </w:rPr>
  </w:style>
  <w:style w:type="paragraph" w:styleId="NormalWeb">
    <w:name w:val="Normal (Web)"/>
    <w:basedOn w:val="Normal"/>
    <w:uiPriority w:val="99"/>
    <w:semiHidden/>
    <w:unhideWhenUsed/>
    <w:rsid w:val="00C767F1"/>
    <w:pPr>
      <w:spacing w:before="100" w:beforeAutospacing="1" w:after="100" w:afterAutospacing="1" w:line="240" w:lineRule="auto"/>
    </w:pPr>
    <w:rPr>
      <w:rFonts w:ascii="Times New Roman" w:eastAsia="Times New Roman" w:hAnsi="Times New Roman" w:cs="Times New Roman"/>
      <w:sz w:val="24"/>
      <w:szCs w:val="24"/>
      <w:lang/>
    </w:rPr>
  </w:style>
  <w:style w:type="paragraph" w:styleId="BalloonText">
    <w:name w:val="Balloon Text"/>
    <w:basedOn w:val="Normal"/>
    <w:link w:val="BalloonTextChar"/>
    <w:uiPriority w:val="99"/>
    <w:semiHidden/>
    <w:unhideWhenUsed/>
    <w:rsid w:val="00406E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E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556457">
      <w:bodyDiv w:val="1"/>
      <w:marLeft w:val="0"/>
      <w:marRight w:val="0"/>
      <w:marTop w:val="0"/>
      <w:marBottom w:val="0"/>
      <w:divBdr>
        <w:top w:val="none" w:sz="0" w:space="0" w:color="auto"/>
        <w:left w:val="none" w:sz="0" w:space="0" w:color="auto"/>
        <w:bottom w:val="none" w:sz="0" w:space="0" w:color="auto"/>
        <w:right w:val="none" w:sz="0" w:space="0" w:color="auto"/>
      </w:divBdr>
      <w:divsChild>
        <w:div w:id="1342002215">
          <w:marLeft w:val="0"/>
          <w:marRight w:val="0"/>
          <w:marTop w:val="0"/>
          <w:marBottom w:val="0"/>
          <w:divBdr>
            <w:top w:val="none" w:sz="0" w:space="0" w:color="auto"/>
            <w:left w:val="none" w:sz="0" w:space="0" w:color="auto"/>
            <w:bottom w:val="none" w:sz="0" w:space="0" w:color="auto"/>
            <w:right w:val="none" w:sz="0" w:space="0" w:color="auto"/>
          </w:divBdr>
          <w:divsChild>
            <w:div w:id="647785268">
              <w:marLeft w:val="0"/>
              <w:marRight w:val="0"/>
              <w:marTop w:val="0"/>
              <w:marBottom w:val="0"/>
              <w:divBdr>
                <w:top w:val="none" w:sz="0" w:space="0" w:color="auto"/>
                <w:left w:val="none" w:sz="0" w:space="0" w:color="auto"/>
                <w:bottom w:val="none" w:sz="0" w:space="0" w:color="auto"/>
                <w:right w:val="none" w:sz="0" w:space="0" w:color="auto"/>
              </w:divBdr>
              <w:divsChild>
                <w:div w:id="1028792653">
                  <w:marLeft w:val="0"/>
                  <w:marRight w:val="0"/>
                  <w:marTop w:val="0"/>
                  <w:marBottom w:val="0"/>
                  <w:divBdr>
                    <w:top w:val="none" w:sz="0" w:space="0" w:color="auto"/>
                    <w:left w:val="none" w:sz="0" w:space="0" w:color="auto"/>
                    <w:bottom w:val="none" w:sz="0" w:space="0" w:color="auto"/>
                    <w:right w:val="none" w:sz="0" w:space="0" w:color="auto"/>
                  </w:divBdr>
                  <w:divsChild>
                    <w:div w:id="1322731153">
                      <w:marLeft w:val="0"/>
                      <w:marRight w:val="0"/>
                      <w:marTop w:val="0"/>
                      <w:marBottom w:val="0"/>
                      <w:divBdr>
                        <w:top w:val="none" w:sz="0" w:space="0" w:color="auto"/>
                        <w:left w:val="none" w:sz="0" w:space="0" w:color="auto"/>
                        <w:bottom w:val="none" w:sz="0" w:space="0" w:color="auto"/>
                        <w:right w:val="none" w:sz="0" w:space="0" w:color="auto"/>
                      </w:divBdr>
                      <w:divsChild>
                        <w:div w:id="1872960012">
                          <w:marLeft w:val="0"/>
                          <w:marRight w:val="0"/>
                          <w:marTop w:val="0"/>
                          <w:marBottom w:val="0"/>
                          <w:divBdr>
                            <w:top w:val="none" w:sz="0" w:space="0" w:color="auto"/>
                            <w:left w:val="none" w:sz="0" w:space="0" w:color="auto"/>
                            <w:bottom w:val="none" w:sz="0" w:space="0" w:color="auto"/>
                            <w:right w:val="none" w:sz="0" w:space="0" w:color="auto"/>
                          </w:divBdr>
                          <w:divsChild>
                            <w:div w:id="1554273105">
                              <w:marLeft w:val="0"/>
                              <w:marRight w:val="0"/>
                              <w:marTop w:val="0"/>
                              <w:marBottom w:val="0"/>
                              <w:divBdr>
                                <w:top w:val="none" w:sz="0" w:space="0" w:color="auto"/>
                                <w:left w:val="none" w:sz="0" w:space="0" w:color="auto"/>
                                <w:bottom w:val="none" w:sz="0" w:space="0" w:color="auto"/>
                                <w:right w:val="none" w:sz="0" w:space="0" w:color="auto"/>
                              </w:divBdr>
                              <w:divsChild>
                                <w:div w:id="142434296">
                                  <w:marLeft w:val="0"/>
                                  <w:marRight w:val="0"/>
                                  <w:marTop w:val="0"/>
                                  <w:marBottom w:val="0"/>
                                  <w:divBdr>
                                    <w:top w:val="none" w:sz="0" w:space="0" w:color="auto"/>
                                    <w:left w:val="none" w:sz="0" w:space="0" w:color="auto"/>
                                    <w:bottom w:val="none" w:sz="0" w:space="0" w:color="auto"/>
                                    <w:right w:val="none" w:sz="0" w:space="0" w:color="auto"/>
                                  </w:divBdr>
                                  <w:divsChild>
                                    <w:div w:id="4109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27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2026-05-31T12:22:00Z</dcterms:created>
  <dcterms:modified xsi:type="dcterms:W3CDTF">2026-05-31T13:41:00Z</dcterms:modified>
</cp:coreProperties>
</file>