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AC09" w14:textId="37DB6C81" w:rsidR="00ED7357" w:rsidRPr="00CB1BA2" w:rsidRDefault="00535EB2">
      <w:pPr>
        <w:rPr>
          <w:b/>
          <w:bCs/>
          <w:sz w:val="28"/>
          <w:szCs w:val="28"/>
        </w:rPr>
      </w:pPr>
      <w:r w:rsidRPr="00CB1BA2">
        <w:rPr>
          <w:b/>
          <w:bCs/>
          <w:sz w:val="28"/>
          <w:szCs w:val="28"/>
        </w:rPr>
        <w:t>Statistical Method</w:t>
      </w:r>
    </w:p>
    <w:p w14:paraId="77DE5C9D" w14:textId="2893E561" w:rsidR="00535EB2" w:rsidRDefault="00535EB2"/>
    <w:p w14:paraId="3F30D1BD" w14:textId="3EB5C2C4" w:rsidR="00B946FF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Differences in normalized right and left habenula </w:t>
      </w:r>
      <w:r w:rsidR="006E5DDE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volume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between PD and CN groups were compared using independent samples t-tests. Normality of the </w:t>
      </w:r>
      <w:r w:rsidR="006E5DDE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volume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values was confirmed visually and using Shapiro-Wilk tests. </w:t>
      </w:r>
      <w:proofErr w:type="spellStart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Levene's</w:t>
      </w:r>
      <w:proofErr w:type="spellEnd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test was used to assess homogeneity of variances between groups. Cohen's d effect sizes were calculated to quantify the magnitude of group differences.</w:t>
      </w:r>
    </w:p>
    <w:p w14:paraId="5DFDACF9" w14:textId="539F999D" w:rsidR="00484D30" w:rsidRDefault="00484D30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For analyzing total habenula volume, prior to the test normality of the volumes were confirmed visually and using Shapiro-Wilk test, and as the as the a</w:t>
      </w:r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ssumptions</w:t>
      </w:r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of homogeneity of variance were assessed</w:t>
      </w:r>
      <w:r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the results were interpreted.</w:t>
      </w:r>
    </w:p>
    <w:p w14:paraId="4EEB0678" w14:textId="436162A4" w:rsidR="00B946FF" w:rsidRDefault="00B946FF" w:rsidP="00CB1BA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  <w:r w:rsidRPr="00B946F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Lateralization of habenula volume was assessed by comparing normalized right and left habenula volumes within each group (PD and CN) using paired-samples t-tests. Prior to analyses, data was checked for normality using Shapiro-Wilk tests and visual inspection of histograms.</w:t>
      </w:r>
      <w:r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  <w:r w:rsidRPr="00B946F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For each group separately, a paired-samples t-test was conducted between right and left </w:t>
      </w:r>
      <w:r w:rsid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B946F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volumes. Cohen's d effect sizes were calculated to quantify the magnitude of lateralization</w:t>
      </w:r>
      <w:r w:rsid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.</w:t>
      </w:r>
    </w:p>
    <w:p w14:paraId="36847F1C" w14:textId="78917CFA" w:rsidR="00535EB2" w:rsidRDefault="00B946FF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For all of the tests </w:t>
      </w:r>
      <w:r w:rsidR="00535EB2"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95% confidence intervals (CIs) around the mean differences were computed</w:t>
      </w:r>
      <w:r w:rsid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and a</w:t>
      </w:r>
      <w:r w:rsidR="00535EB2"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lpha was set at 0.05 for statistical significance.</w:t>
      </w:r>
    </w:p>
    <w:p w14:paraId="33162502" w14:textId="77777777" w:rsidR="00B946FF" w:rsidRDefault="00B946FF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03E618DA" w14:textId="304D37F8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1D68F100" w14:textId="5DF2408D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5DEFA88D" w14:textId="5D9E4EB9" w:rsidR="00535EB2" w:rsidRPr="00CB1BA2" w:rsidRDefault="00535EB2" w:rsidP="00535EB2">
      <w:pPr>
        <w:rPr>
          <w:b/>
          <w:bCs/>
          <w:sz w:val="28"/>
          <w:szCs w:val="28"/>
        </w:rPr>
      </w:pPr>
      <w:r w:rsidRPr="00CB1BA2">
        <w:rPr>
          <w:b/>
          <w:bCs/>
          <w:sz w:val="28"/>
          <w:szCs w:val="28"/>
        </w:rPr>
        <w:t>Results</w:t>
      </w:r>
    </w:p>
    <w:p w14:paraId="1D3EE7ED" w14:textId="1F6CE983" w:rsidR="000D3FE8" w:rsidRDefault="000D3FE8" w:rsidP="00535EB2">
      <w:pPr>
        <w:rPr>
          <w:b/>
          <w:bCs/>
        </w:rPr>
      </w:pPr>
    </w:p>
    <w:p w14:paraId="30470635" w14:textId="465F28A9" w:rsidR="00CB1BA2" w:rsidRDefault="00CB1BA2" w:rsidP="00535EB2">
      <w:pPr>
        <w:rPr>
          <w:b/>
          <w:bCs/>
          <w:sz w:val="22"/>
          <w:szCs w:val="22"/>
        </w:rPr>
      </w:pPr>
      <w:r w:rsidRPr="00CB1BA2">
        <w:rPr>
          <w:b/>
          <w:bCs/>
          <w:sz w:val="22"/>
          <w:szCs w:val="22"/>
        </w:rPr>
        <w:t xml:space="preserve">Volumetric Analysis: </w:t>
      </w:r>
    </w:p>
    <w:p w14:paraId="4BA7C604" w14:textId="77777777" w:rsidR="00CB1BA2" w:rsidRPr="00CB1BA2" w:rsidRDefault="00CB1BA2" w:rsidP="00535EB2">
      <w:pPr>
        <w:rPr>
          <w:b/>
          <w:bCs/>
          <w:sz w:val="22"/>
          <w:szCs w:val="22"/>
        </w:rPr>
      </w:pPr>
    </w:p>
    <w:tbl>
      <w:tblPr>
        <w:tblStyle w:val="PlainTable5"/>
        <w:tblpPr w:leftFromText="180" w:rightFromText="180" w:vertAnchor="text" w:horzAnchor="margin" w:tblpXSpec="center" w:tblpY="72"/>
        <w:tblOverlap w:val="never"/>
        <w:tblW w:w="6948" w:type="dxa"/>
        <w:tblLook w:val="04A0" w:firstRow="1" w:lastRow="0" w:firstColumn="1" w:lastColumn="0" w:noHBand="0" w:noVBand="1"/>
      </w:tblPr>
      <w:tblGrid>
        <w:gridCol w:w="1428"/>
        <w:gridCol w:w="670"/>
        <w:gridCol w:w="1232"/>
        <w:gridCol w:w="1873"/>
        <w:gridCol w:w="1745"/>
      </w:tblGrid>
      <w:tr w:rsidR="00CB1BA2" w14:paraId="13E13335" w14:textId="77777777" w:rsidTr="00CB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8" w:type="dxa"/>
          </w:tcPr>
          <w:p w14:paraId="52B76C7F" w14:textId="77777777" w:rsidR="00CB1BA2" w:rsidRPr="000D3FE8" w:rsidRDefault="00CB1BA2" w:rsidP="00CB1BA2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670" w:type="dxa"/>
          </w:tcPr>
          <w:p w14:paraId="61CA25B2" w14:textId="77777777" w:rsidR="00CB1BA2" w:rsidRPr="000D3FE8" w:rsidRDefault="00CB1BA2" w:rsidP="00CB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DX</w:t>
            </w:r>
          </w:p>
        </w:tc>
        <w:tc>
          <w:tcPr>
            <w:tcW w:w="1232" w:type="dxa"/>
          </w:tcPr>
          <w:p w14:paraId="2314FB2D" w14:textId="77777777" w:rsidR="00CB1BA2" w:rsidRPr="000D3FE8" w:rsidRDefault="00CB1BA2" w:rsidP="00CB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N</w:t>
            </w:r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umber</w:t>
            </w:r>
          </w:p>
        </w:tc>
        <w:tc>
          <w:tcPr>
            <w:tcW w:w="1873" w:type="dxa"/>
          </w:tcPr>
          <w:p w14:paraId="76F4BB32" w14:textId="77777777" w:rsidR="00CB1BA2" w:rsidRPr="000D3FE8" w:rsidRDefault="00CB1BA2" w:rsidP="00CB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Mean</w:t>
            </w:r>
          </w:p>
        </w:tc>
        <w:tc>
          <w:tcPr>
            <w:tcW w:w="1745" w:type="dxa"/>
          </w:tcPr>
          <w:p w14:paraId="25BE62CE" w14:textId="77777777" w:rsidR="00CB1BA2" w:rsidRPr="000D3FE8" w:rsidRDefault="00CB1BA2" w:rsidP="00CB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Std.</w:t>
            </w:r>
          </w:p>
        </w:tc>
      </w:tr>
      <w:tr w:rsidR="00CB1BA2" w14:paraId="11D66A45" w14:textId="77777777" w:rsidTr="00CB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</w:tcPr>
          <w:p w14:paraId="41763ED6" w14:textId="77777777" w:rsidR="00CB1BA2" w:rsidRPr="000D3FE8" w:rsidRDefault="00CB1BA2" w:rsidP="00CB1BA2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Right Habenula</w:t>
            </w:r>
          </w:p>
        </w:tc>
        <w:tc>
          <w:tcPr>
            <w:tcW w:w="670" w:type="dxa"/>
          </w:tcPr>
          <w:p w14:paraId="705575A0" w14:textId="77777777" w:rsidR="00CB1BA2" w:rsidRPr="000D3FE8" w:rsidRDefault="00CB1BA2" w:rsidP="00CB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CN</w:t>
            </w:r>
          </w:p>
        </w:tc>
        <w:tc>
          <w:tcPr>
            <w:tcW w:w="1232" w:type="dxa"/>
          </w:tcPr>
          <w:p w14:paraId="198E6BD2" w14:textId="77777777" w:rsidR="00CB1BA2" w:rsidRPr="000D3FE8" w:rsidRDefault="00CB1BA2" w:rsidP="00CB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100</w:t>
            </w:r>
          </w:p>
        </w:tc>
        <w:tc>
          <w:tcPr>
            <w:tcW w:w="1873" w:type="dxa"/>
          </w:tcPr>
          <w:p w14:paraId="07CB11F6" w14:textId="77777777" w:rsidR="00CB1BA2" w:rsidRPr="000D3FE8" w:rsidRDefault="00CB1BA2" w:rsidP="00CB1BA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24.41335238</w:t>
            </w:r>
          </w:p>
        </w:tc>
        <w:tc>
          <w:tcPr>
            <w:tcW w:w="1745" w:type="dxa"/>
          </w:tcPr>
          <w:p w14:paraId="147CC676" w14:textId="77777777" w:rsidR="00CB1BA2" w:rsidRPr="000D3FE8" w:rsidRDefault="00CB1BA2" w:rsidP="00CB1BA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4.793529962</w:t>
            </w:r>
          </w:p>
        </w:tc>
      </w:tr>
      <w:tr w:rsidR="00CB1BA2" w14:paraId="42CEF627" w14:textId="77777777" w:rsidTr="00CB1BA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9B7A4E4" w14:textId="77777777" w:rsidR="00CB1BA2" w:rsidRPr="000D3FE8" w:rsidRDefault="00CB1BA2" w:rsidP="00CB1BA2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670" w:type="dxa"/>
          </w:tcPr>
          <w:p w14:paraId="453DB823" w14:textId="77777777" w:rsidR="00CB1BA2" w:rsidRPr="000D3FE8" w:rsidRDefault="00CB1BA2" w:rsidP="00CB1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PD</w:t>
            </w:r>
          </w:p>
        </w:tc>
        <w:tc>
          <w:tcPr>
            <w:tcW w:w="1232" w:type="dxa"/>
          </w:tcPr>
          <w:p w14:paraId="6BCDF379" w14:textId="77777777" w:rsidR="00CB1BA2" w:rsidRPr="000D3FE8" w:rsidRDefault="00CB1BA2" w:rsidP="00CB1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100</w:t>
            </w:r>
          </w:p>
        </w:tc>
        <w:tc>
          <w:tcPr>
            <w:tcW w:w="1873" w:type="dxa"/>
          </w:tcPr>
          <w:p w14:paraId="57026437" w14:textId="77777777" w:rsidR="00CB1BA2" w:rsidRPr="000D3FE8" w:rsidRDefault="00CB1BA2" w:rsidP="00CB1BA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18.53799950</w:t>
            </w:r>
          </w:p>
        </w:tc>
        <w:tc>
          <w:tcPr>
            <w:tcW w:w="1745" w:type="dxa"/>
          </w:tcPr>
          <w:p w14:paraId="11CB642E" w14:textId="77777777" w:rsidR="00CB1BA2" w:rsidRPr="000D3FE8" w:rsidRDefault="00CB1BA2" w:rsidP="00CB1BA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5.840101147</w:t>
            </w:r>
          </w:p>
        </w:tc>
      </w:tr>
      <w:tr w:rsidR="00CB1BA2" w14:paraId="3A6199A3" w14:textId="77777777" w:rsidTr="00CB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</w:tcPr>
          <w:p w14:paraId="18C60DE9" w14:textId="77777777" w:rsidR="00CB1BA2" w:rsidRPr="000D3FE8" w:rsidRDefault="00CB1BA2" w:rsidP="00CB1BA2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D3FE8">
              <w:rPr>
                <w:rFonts w:ascii="Helvetica Neue" w:hAnsi="Helvetica Neue"/>
                <w:b/>
                <w:bCs/>
                <w:sz w:val="21"/>
                <w:szCs w:val="21"/>
              </w:rPr>
              <w:t>Left Habenula</w:t>
            </w:r>
          </w:p>
        </w:tc>
        <w:tc>
          <w:tcPr>
            <w:tcW w:w="670" w:type="dxa"/>
          </w:tcPr>
          <w:p w14:paraId="01107206" w14:textId="77777777" w:rsidR="00CB1BA2" w:rsidRPr="000D3FE8" w:rsidRDefault="00CB1BA2" w:rsidP="00CB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CN</w:t>
            </w:r>
          </w:p>
        </w:tc>
        <w:tc>
          <w:tcPr>
            <w:tcW w:w="1232" w:type="dxa"/>
          </w:tcPr>
          <w:p w14:paraId="6EF30381" w14:textId="77777777" w:rsidR="00CB1BA2" w:rsidRPr="000D3FE8" w:rsidRDefault="00CB1BA2" w:rsidP="00CB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100</w:t>
            </w:r>
          </w:p>
        </w:tc>
        <w:tc>
          <w:tcPr>
            <w:tcW w:w="1873" w:type="dxa"/>
          </w:tcPr>
          <w:p w14:paraId="7BDA55F6" w14:textId="77777777" w:rsidR="00CB1BA2" w:rsidRPr="000D3FE8" w:rsidRDefault="00CB1BA2" w:rsidP="00CB1BA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23.54044756</w:t>
            </w:r>
          </w:p>
        </w:tc>
        <w:tc>
          <w:tcPr>
            <w:tcW w:w="1745" w:type="dxa"/>
          </w:tcPr>
          <w:p w14:paraId="0220AB8B" w14:textId="77777777" w:rsidR="00CB1BA2" w:rsidRPr="000D3FE8" w:rsidRDefault="00CB1BA2" w:rsidP="00CB1BA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4.041445475</w:t>
            </w:r>
          </w:p>
        </w:tc>
      </w:tr>
      <w:tr w:rsidR="00CB1BA2" w14:paraId="40D8515A" w14:textId="77777777" w:rsidTr="00CB1BA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4D4FC727" w14:textId="77777777" w:rsidR="00CB1BA2" w:rsidRPr="000D3FE8" w:rsidRDefault="00CB1BA2" w:rsidP="00CB1BA2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670" w:type="dxa"/>
          </w:tcPr>
          <w:p w14:paraId="0897F1D9" w14:textId="77777777" w:rsidR="00CB1BA2" w:rsidRPr="000D3FE8" w:rsidRDefault="00CB1BA2" w:rsidP="00CB1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PD</w:t>
            </w:r>
          </w:p>
        </w:tc>
        <w:tc>
          <w:tcPr>
            <w:tcW w:w="1232" w:type="dxa"/>
          </w:tcPr>
          <w:p w14:paraId="4825BAAB" w14:textId="77777777" w:rsidR="00CB1BA2" w:rsidRPr="000D3FE8" w:rsidRDefault="00CB1BA2" w:rsidP="00CB1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sz w:val="21"/>
                <w:szCs w:val="21"/>
              </w:rPr>
              <w:t>100</w:t>
            </w:r>
          </w:p>
        </w:tc>
        <w:tc>
          <w:tcPr>
            <w:tcW w:w="1873" w:type="dxa"/>
          </w:tcPr>
          <w:p w14:paraId="6A770BBC" w14:textId="77777777" w:rsidR="00CB1BA2" w:rsidRPr="000D3FE8" w:rsidRDefault="00CB1BA2" w:rsidP="00CB1BA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17.59760558</w:t>
            </w:r>
          </w:p>
        </w:tc>
        <w:tc>
          <w:tcPr>
            <w:tcW w:w="1745" w:type="dxa"/>
          </w:tcPr>
          <w:p w14:paraId="740A0E6D" w14:textId="77777777" w:rsidR="00CB1BA2" w:rsidRPr="000D3FE8" w:rsidRDefault="00CB1BA2" w:rsidP="00CB1BA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0D3FE8">
              <w:rPr>
                <w:rFonts w:ascii="Helvetica Neue" w:hAnsi="Helvetica Neue"/>
                <w:color w:val="000002"/>
                <w:sz w:val="21"/>
                <w:szCs w:val="21"/>
              </w:rPr>
              <w:t>5.156075658</w:t>
            </w:r>
          </w:p>
        </w:tc>
      </w:tr>
    </w:tbl>
    <w:p w14:paraId="28D03B84" w14:textId="7E64737F" w:rsidR="00CB1BA2" w:rsidRDefault="00CB1BA2" w:rsidP="00535EB2">
      <w:pPr>
        <w:rPr>
          <w:b/>
          <w:bCs/>
        </w:rPr>
      </w:pPr>
      <w:r>
        <w:rPr>
          <w:b/>
          <w:bCs/>
        </w:rPr>
        <w:t xml:space="preserve"> </w:t>
      </w:r>
    </w:p>
    <w:p w14:paraId="0AAB6F6C" w14:textId="34B6ABB1" w:rsidR="000D3FE8" w:rsidRDefault="00B946FF" w:rsidP="000D3FE8">
      <w:pPr>
        <w:jc w:val="center"/>
        <w:rPr>
          <w:b/>
          <w:bCs/>
        </w:rPr>
      </w:pPr>
      <w:r>
        <w:rPr>
          <w:b/>
          <w:bCs/>
          <w:sz w:val="18"/>
          <w:szCs w:val="18"/>
        </w:rPr>
        <w:br w:type="textWrapping" w:clear="all"/>
      </w:r>
      <w:r w:rsidR="000D3FE8" w:rsidRPr="000D3FE8">
        <w:rPr>
          <w:b/>
          <w:bCs/>
          <w:sz w:val="18"/>
          <w:szCs w:val="18"/>
        </w:rPr>
        <w:t>Table</w:t>
      </w:r>
      <w:r w:rsidR="006729A7">
        <w:rPr>
          <w:b/>
          <w:bCs/>
          <w:sz w:val="18"/>
          <w:szCs w:val="18"/>
        </w:rPr>
        <w:t xml:space="preserve"> </w:t>
      </w:r>
      <w:r w:rsidR="000D3FE8" w:rsidRPr="000D3FE8">
        <w:rPr>
          <w:b/>
          <w:bCs/>
          <w:sz w:val="18"/>
          <w:szCs w:val="18"/>
        </w:rPr>
        <w:t>1.</w:t>
      </w:r>
      <w:r w:rsidR="000D3FE8">
        <w:rPr>
          <w:b/>
          <w:bCs/>
        </w:rPr>
        <w:t xml:space="preserve"> </w:t>
      </w:r>
      <w:r w:rsidR="000D3FE8" w:rsidRPr="000D3FE8">
        <w:rPr>
          <w:sz w:val="18"/>
          <w:szCs w:val="18"/>
        </w:rPr>
        <w:t xml:space="preserve">Group Statistic of Patients </w:t>
      </w:r>
      <w:r w:rsidR="000D3FE8">
        <w:rPr>
          <w:sz w:val="18"/>
          <w:szCs w:val="18"/>
        </w:rPr>
        <w:t xml:space="preserve">in right and left habenula region </w:t>
      </w:r>
      <w:r w:rsidR="006E5DDE">
        <w:rPr>
          <w:sz w:val="18"/>
          <w:szCs w:val="18"/>
        </w:rPr>
        <w:t>volume</w:t>
      </w:r>
      <w:r w:rsidR="000D3FE8">
        <w:rPr>
          <w:sz w:val="18"/>
          <w:szCs w:val="18"/>
        </w:rPr>
        <w:t>.</w:t>
      </w:r>
    </w:p>
    <w:p w14:paraId="0A99D6B5" w14:textId="4ACEA203" w:rsidR="000D3FE8" w:rsidRDefault="000D3FE8" w:rsidP="00535EB2">
      <w:pPr>
        <w:rPr>
          <w:b/>
          <w:bCs/>
        </w:rPr>
      </w:pPr>
    </w:p>
    <w:p w14:paraId="742A3922" w14:textId="77777777" w:rsidR="000D3FE8" w:rsidRDefault="000D3FE8" w:rsidP="00535EB2">
      <w:pPr>
        <w:rPr>
          <w:b/>
          <w:bCs/>
        </w:rPr>
      </w:pPr>
    </w:p>
    <w:p w14:paraId="7FA509B6" w14:textId="77777777" w:rsidR="000D3FE8" w:rsidRPr="00535EB2" w:rsidRDefault="000D3FE8" w:rsidP="00535EB2">
      <w:pPr>
        <w:rPr>
          <w:b/>
          <w:bCs/>
        </w:rPr>
      </w:pPr>
    </w:p>
    <w:p w14:paraId="0BC1EDFC" w14:textId="619D787E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71245B67" w14:textId="5E927FD0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For right habenula </w:t>
      </w:r>
      <w:r w:rsidR="006E5DDE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volume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the t-test showed a significant difference between PD (mean = 18.54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SD = 5.84) and CN (mean = 24.41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, SD = 4.79) groups (</w:t>
      </w:r>
      <w:proofErr w:type="gramStart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t(</w:t>
      </w:r>
      <w:proofErr w:type="gramEnd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198) = 7.78, p &lt; 0.001). The effect size was large (Cohen's d = 1.10).</w:t>
      </w:r>
    </w:p>
    <w:p w14:paraId="003B395D" w14:textId="5F60CA92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Similarly, for left habenula </w:t>
      </w:r>
      <w:r w:rsidR="006E5DDE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volume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the t-test revealed a significant difference between PD (mean = 17.60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SD = 5.16) and CN (mean = 23.54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, SD = 4.04) groups (</w:t>
      </w:r>
      <w:proofErr w:type="gramStart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t(</w:t>
      </w:r>
      <w:proofErr w:type="gramEnd"/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198) = 9.07, p &lt; 0.001). The effect size was very large (Cohen's d = 1.28).</w:t>
      </w:r>
    </w:p>
    <w:p w14:paraId="7F0AFA7D" w14:textId="77777777" w:rsidR="006729A7" w:rsidRDefault="006729A7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</w:p>
    <w:p w14:paraId="10130E02" w14:textId="69F51A5C" w:rsidR="006729A7" w:rsidRDefault="006729A7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</w:p>
    <w:tbl>
      <w:tblPr>
        <w:tblStyle w:val="PlainTable5"/>
        <w:tblW w:w="6948" w:type="dxa"/>
        <w:jc w:val="center"/>
        <w:tblLook w:val="04A0" w:firstRow="1" w:lastRow="0" w:firstColumn="1" w:lastColumn="0" w:noHBand="0" w:noVBand="1"/>
      </w:tblPr>
      <w:tblGrid>
        <w:gridCol w:w="1579"/>
        <w:gridCol w:w="717"/>
        <w:gridCol w:w="1198"/>
        <w:gridCol w:w="1797"/>
        <w:gridCol w:w="1657"/>
      </w:tblGrid>
      <w:tr w:rsidR="00CB1BA2" w14:paraId="19AA171E" w14:textId="77777777" w:rsidTr="0048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76317F22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535" w:type="dxa"/>
          </w:tcPr>
          <w:p w14:paraId="63E7424C" w14:textId="5394D7F1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t</w:t>
            </w:r>
            <w:r w:rsidR="00D93C5E">
              <w:rPr>
                <w:rFonts w:ascii="Helvetica Neue" w:hAnsi="Helvetica Neue"/>
                <w:b/>
                <w:bCs/>
                <w:sz w:val="18"/>
                <w:szCs w:val="18"/>
              </w:rPr>
              <w:t>-value</w:t>
            </w:r>
          </w:p>
        </w:tc>
        <w:tc>
          <w:tcPr>
            <w:tcW w:w="1217" w:type="dxa"/>
          </w:tcPr>
          <w:p w14:paraId="39E73CB2" w14:textId="1E490012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df</w:t>
            </w:r>
          </w:p>
        </w:tc>
        <w:tc>
          <w:tcPr>
            <w:tcW w:w="1848" w:type="dxa"/>
          </w:tcPr>
          <w:p w14:paraId="77103F65" w14:textId="41B6DA5A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Mean Difference</w:t>
            </w:r>
          </w:p>
        </w:tc>
        <w:tc>
          <w:tcPr>
            <w:tcW w:w="1728" w:type="dxa"/>
          </w:tcPr>
          <w:p w14:paraId="455CF183" w14:textId="5286789D" w:rsidR="006729A7" w:rsidRPr="006729A7" w:rsidRDefault="00D93C5E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p-v</w:t>
            </w:r>
            <w:r w:rsidR="006729A7"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alue</w:t>
            </w:r>
          </w:p>
        </w:tc>
      </w:tr>
      <w:tr w:rsidR="006729A7" w14:paraId="19505944" w14:textId="77777777" w:rsidTr="0048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459C49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Right Habenula</w:t>
            </w:r>
          </w:p>
        </w:tc>
        <w:tc>
          <w:tcPr>
            <w:tcW w:w="535" w:type="dxa"/>
          </w:tcPr>
          <w:p w14:paraId="628973CF" w14:textId="0B7D0E68" w:rsidR="006729A7" w:rsidRPr="006729A7" w:rsidRDefault="006729A7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sz w:val="20"/>
                <w:szCs w:val="20"/>
              </w:rPr>
              <w:t>7.776</w:t>
            </w:r>
          </w:p>
        </w:tc>
        <w:tc>
          <w:tcPr>
            <w:tcW w:w="1217" w:type="dxa"/>
          </w:tcPr>
          <w:p w14:paraId="4E2CBD7E" w14:textId="52E56EE5" w:rsidR="006729A7" w:rsidRPr="006729A7" w:rsidRDefault="006729A7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sz w:val="20"/>
                <w:szCs w:val="20"/>
              </w:rPr>
              <w:t>190.750</w:t>
            </w:r>
          </w:p>
        </w:tc>
        <w:tc>
          <w:tcPr>
            <w:tcW w:w="1848" w:type="dxa"/>
          </w:tcPr>
          <w:p w14:paraId="256E56D4" w14:textId="2F0223F3" w:rsidR="006729A7" w:rsidRPr="006729A7" w:rsidRDefault="006729A7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5.875</w:t>
            </w:r>
          </w:p>
        </w:tc>
        <w:tc>
          <w:tcPr>
            <w:tcW w:w="1728" w:type="dxa"/>
          </w:tcPr>
          <w:p w14:paraId="1505C482" w14:textId="703D7853" w:rsidR="006729A7" w:rsidRPr="006729A7" w:rsidRDefault="006729A7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&lt; 0.001</w:t>
            </w:r>
          </w:p>
        </w:tc>
      </w:tr>
      <w:tr w:rsidR="006729A7" w14:paraId="7A542404" w14:textId="77777777" w:rsidTr="00484D30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E51614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Left Habenula</w:t>
            </w:r>
          </w:p>
        </w:tc>
        <w:tc>
          <w:tcPr>
            <w:tcW w:w="535" w:type="dxa"/>
          </w:tcPr>
          <w:p w14:paraId="358CFF91" w14:textId="56AC6014" w:rsidR="006729A7" w:rsidRPr="006729A7" w:rsidRDefault="006729A7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sz w:val="20"/>
                <w:szCs w:val="20"/>
              </w:rPr>
              <w:t>9.071</w:t>
            </w:r>
          </w:p>
        </w:tc>
        <w:tc>
          <w:tcPr>
            <w:tcW w:w="1217" w:type="dxa"/>
          </w:tcPr>
          <w:p w14:paraId="7D3532B7" w14:textId="7324E2ED" w:rsidR="006729A7" w:rsidRPr="006729A7" w:rsidRDefault="006729A7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sz w:val="20"/>
                <w:szCs w:val="20"/>
              </w:rPr>
              <w:t>187.312</w:t>
            </w:r>
          </w:p>
        </w:tc>
        <w:tc>
          <w:tcPr>
            <w:tcW w:w="1848" w:type="dxa"/>
          </w:tcPr>
          <w:p w14:paraId="7CE79CE6" w14:textId="20C3892E" w:rsidR="006729A7" w:rsidRPr="006729A7" w:rsidRDefault="006729A7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5.942</w:t>
            </w:r>
          </w:p>
        </w:tc>
        <w:tc>
          <w:tcPr>
            <w:tcW w:w="1728" w:type="dxa"/>
          </w:tcPr>
          <w:p w14:paraId="5C7B1EA9" w14:textId="32913C32" w:rsidR="006729A7" w:rsidRPr="006729A7" w:rsidRDefault="006729A7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&lt; 0.001</w:t>
            </w:r>
          </w:p>
        </w:tc>
      </w:tr>
    </w:tbl>
    <w:p w14:paraId="42282436" w14:textId="6F54FF76" w:rsidR="006729A7" w:rsidRDefault="006729A7" w:rsidP="006729A7">
      <w:pPr>
        <w:jc w:val="center"/>
        <w:rPr>
          <w:b/>
          <w:bCs/>
          <w:lang w:bidi="fa-IR"/>
        </w:rPr>
      </w:pPr>
      <w:r w:rsidRPr="000D3FE8">
        <w:rPr>
          <w:b/>
          <w:bCs/>
          <w:sz w:val="18"/>
          <w:szCs w:val="18"/>
        </w:rPr>
        <w:t>Table</w:t>
      </w:r>
      <w:r>
        <w:rPr>
          <w:b/>
          <w:bCs/>
          <w:sz w:val="18"/>
          <w:szCs w:val="18"/>
        </w:rPr>
        <w:t xml:space="preserve"> 2</w:t>
      </w:r>
      <w:r w:rsidRPr="000D3FE8">
        <w:rPr>
          <w:b/>
          <w:bCs/>
          <w:sz w:val="18"/>
          <w:szCs w:val="18"/>
        </w:rPr>
        <w:t>.</w:t>
      </w:r>
      <w:r>
        <w:rPr>
          <w:b/>
          <w:bCs/>
        </w:rPr>
        <w:t xml:space="preserve"> </w:t>
      </w:r>
      <w:r>
        <w:rPr>
          <w:sz w:val="18"/>
          <w:szCs w:val="18"/>
        </w:rPr>
        <w:t xml:space="preserve">Result of independent sample t-test for comparing left and right Habenula normalized to TIV </w:t>
      </w:r>
      <w:r w:rsidR="006E5DDE">
        <w:rPr>
          <w:sz w:val="18"/>
          <w:szCs w:val="18"/>
        </w:rPr>
        <w:t>volume</w:t>
      </w:r>
      <w:r>
        <w:rPr>
          <w:sz w:val="18"/>
          <w:szCs w:val="18"/>
        </w:rPr>
        <w:t xml:space="preserve"> of Parkinson’s patients to control normal.</w:t>
      </w:r>
    </w:p>
    <w:p w14:paraId="7B012691" w14:textId="77777777" w:rsidR="006729A7" w:rsidRDefault="006729A7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  <w:rtl/>
        </w:rPr>
      </w:pPr>
    </w:p>
    <w:p w14:paraId="7FDD11C4" w14:textId="34D8168F" w:rsidR="006729A7" w:rsidRDefault="006729A7" w:rsidP="00535EB2">
      <w:pPr>
        <w:rPr>
          <w:sz w:val="21"/>
          <w:szCs w:val="21"/>
        </w:rPr>
      </w:pPr>
    </w:p>
    <w:p w14:paraId="60E649E8" w14:textId="26571B60" w:rsidR="006729A7" w:rsidRDefault="006729A7" w:rsidP="00535EB2">
      <w:pPr>
        <w:rPr>
          <w:sz w:val="21"/>
          <w:szCs w:val="21"/>
        </w:rPr>
      </w:pPr>
    </w:p>
    <w:tbl>
      <w:tblPr>
        <w:tblStyle w:val="PlainTable5"/>
        <w:tblW w:w="6948" w:type="dxa"/>
        <w:jc w:val="center"/>
        <w:tblLook w:val="04A0" w:firstRow="1" w:lastRow="0" w:firstColumn="1" w:lastColumn="0" w:noHBand="0" w:noVBand="1"/>
      </w:tblPr>
      <w:tblGrid>
        <w:gridCol w:w="1464"/>
        <w:gridCol w:w="1316"/>
        <w:gridCol w:w="1153"/>
        <w:gridCol w:w="1552"/>
        <w:gridCol w:w="1463"/>
      </w:tblGrid>
      <w:tr w:rsidR="006729A7" w14:paraId="1D0452ED" w14:textId="77777777" w:rsidTr="00CB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4" w:type="dxa"/>
          </w:tcPr>
          <w:p w14:paraId="0C8A85B1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1316" w:type="dxa"/>
          </w:tcPr>
          <w:p w14:paraId="39378DC6" w14:textId="2A81F14D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Standardizer</w:t>
            </w:r>
          </w:p>
        </w:tc>
        <w:tc>
          <w:tcPr>
            <w:tcW w:w="1153" w:type="dxa"/>
          </w:tcPr>
          <w:p w14:paraId="2346C0CB" w14:textId="2591DB45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Point Estimate</w:t>
            </w:r>
          </w:p>
        </w:tc>
        <w:tc>
          <w:tcPr>
            <w:tcW w:w="1552" w:type="dxa"/>
          </w:tcPr>
          <w:p w14:paraId="6C5EF9BE" w14:textId="6C7909C4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Lower 95% CI</w:t>
            </w:r>
          </w:p>
        </w:tc>
        <w:tc>
          <w:tcPr>
            <w:tcW w:w="1463" w:type="dxa"/>
          </w:tcPr>
          <w:p w14:paraId="129FF19A" w14:textId="0C037C64" w:rsidR="006729A7" w:rsidRPr="006729A7" w:rsidRDefault="006729A7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Upper 95% CI</w:t>
            </w:r>
          </w:p>
        </w:tc>
      </w:tr>
      <w:tr w:rsidR="006729A7" w14:paraId="545403DA" w14:textId="77777777" w:rsidTr="00CB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9EE077E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Right Habenula</w:t>
            </w:r>
          </w:p>
        </w:tc>
        <w:tc>
          <w:tcPr>
            <w:tcW w:w="1316" w:type="dxa"/>
          </w:tcPr>
          <w:p w14:paraId="4BA24BDB" w14:textId="4666970A" w:rsidR="006729A7" w:rsidRPr="006729A7" w:rsidRDefault="006729A7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5.342</w:t>
            </w:r>
          </w:p>
        </w:tc>
        <w:tc>
          <w:tcPr>
            <w:tcW w:w="1153" w:type="dxa"/>
          </w:tcPr>
          <w:p w14:paraId="2C44FDA8" w14:textId="4A414D8A" w:rsidR="006729A7" w:rsidRPr="006729A7" w:rsidRDefault="006729A7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1.100</w:t>
            </w:r>
          </w:p>
        </w:tc>
        <w:tc>
          <w:tcPr>
            <w:tcW w:w="1552" w:type="dxa"/>
          </w:tcPr>
          <w:p w14:paraId="6DC3DB7D" w14:textId="229CC31C" w:rsidR="006729A7" w:rsidRPr="006729A7" w:rsidRDefault="006729A7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0.801</w:t>
            </w:r>
          </w:p>
        </w:tc>
        <w:tc>
          <w:tcPr>
            <w:tcW w:w="1463" w:type="dxa"/>
          </w:tcPr>
          <w:p w14:paraId="0DC832DD" w14:textId="4C86B1ED" w:rsidR="006729A7" w:rsidRPr="006729A7" w:rsidRDefault="006729A7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1.396</w:t>
            </w:r>
          </w:p>
        </w:tc>
      </w:tr>
      <w:tr w:rsidR="006729A7" w14:paraId="41A51EF8" w14:textId="77777777" w:rsidTr="00CB1BA2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624AB8C" w14:textId="77777777" w:rsidR="006729A7" w:rsidRPr="000D3FE8" w:rsidRDefault="006729A7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Left Habenula</w:t>
            </w:r>
          </w:p>
        </w:tc>
        <w:tc>
          <w:tcPr>
            <w:tcW w:w="1316" w:type="dxa"/>
          </w:tcPr>
          <w:p w14:paraId="37D5DC2C" w14:textId="6081F5BB" w:rsidR="006729A7" w:rsidRPr="006729A7" w:rsidRDefault="006729A7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4.632</w:t>
            </w:r>
          </w:p>
        </w:tc>
        <w:tc>
          <w:tcPr>
            <w:tcW w:w="1153" w:type="dxa"/>
          </w:tcPr>
          <w:p w14:paraId="226C544F" w14:textId="7357B059" w:rsidR="006729A7" w:rsidRPr="006729A7" w:rsidRDefault="006729A7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1.283</w:t>
            </w:r>
          </w:p>
        </w:tc>
        <w:tc>
          <w:tcPr>
            <w:tcW w:w="1552" w:type="dxa"/>
          </w:tcPr>
          <w:p w14:paraId="30EB29C0" w14:textId="724C2043" w:rsidR="006729A7" w:rsidRPr="006729A7" w:rsidRDefault="006729A7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0.977</w:t>
            </w:r>
          </w:p>
        </w:tc>
        <w:tc>
          <w:tcPr>
            <w:tcW w:w="1463" w:type="dxa"/>
          </w:tcPr>
          <w:p w14:paraId="48AD766D" w14:textId="49D03F8F" w:rsidR="006729A7" w:rsidRPr="006729A7" w:rsidRDefault="006729A7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1.586</w:t>
            </w:r>
          </w:p>
        </w:tc>
      </w:tr>
    </w:tbl>
    <w:p w14:paraId="11D475F3" w14:textId="77777777" w:rsidR="00CB1BA2" w:rsidRDefault="00CB1BA2" w:rsidP="006729A7">
      <w:pPr>
        <w:jc w:val="center"/>
        <w:rPr>
          <w:b/>
          <w:bCs/>
          <w:sz w:val="18"/>
          <w:szCs w:val="18"/>
        </w:rPr>
      </w:pPr>
    </w:p>
    <w:p w14:paraId="76A1F518" w14:textId="1F18B495" w:rsidR="006729A7" w:rsidRDefault="006729A7" w:rsidP="006729A7">
      <w:pPr>
        <w:jc w:val="center"/>
        <w:rPr>
          <w:b/>
          <w:bCs/>
        </w:rPr>
      </w:pPr>
      <w:r w:rsidRPr="000D3FE8">
        <w:rPr>
          <w:b/>
          <w:bCs/>
          <w:sz w:val="18"/>
          <w:szCs w:val="18"/>
        </w:rPr>
        <w:t>Table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</w:t>
      </w:r>
      <w:r w:rsidRPr="000D3FE8">
        <w:rPr>
          <w:b/>
          <w:bCs/>
          <w:sz w:val="18"/>
          <w:szCs w:val="18"/>
        </w:rPr>
        <w:t>.</w:t>
      </w:r>
      <w:r>
        <w:rPr>
          <w:b/>
          <w:bCs/>
        </w:rPr>
        <w:t xml:space="preserve"> </w:t>
      </w:r>
      <w:r>
        <w:rPr>
          <w:sz w:val="18"/>
          <w:szCs w:val="18"/>
        </w:rPr>
        <w:t xml:space="preserve">Result of </w:t>
      </w:r>
      <w:r>
        <w:rPr>
          <w:sz w:val="18"/>
          <w:szCs w:val="18"/>
        </w:rPr>
        <w:t xml:space="preserve">Cohen’s d </w:t>
      </w:r>
      <w:r>
        <w:rPr>
          <w:sz w:val="18"/>
          <w:szCs w:val="18"/>
        </w:rPr>
        <w:t>independent sample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effect size for</w:t>
      </w:r>
      <w:r>
        <w:rPr>
          <w:sz w:val="18"/>
          <w:szCs w:val="18"/>
        </w:rPr>
        <w:t xml:space="preserve"> comparing left and right Habenula normalized to TIV </w:t>
      </w:r>
      <w:r w:rsidR="00B946FF">
        <w:rPr>
          <w:sz w:val="18"/>
          <w:szCs w:val="18"/>
        </w:rPr>
        <w:t>volume</w:t>
      </w:r>
      <w:r>
        <w:rPr>
          <w:sz w:val="18"/>
          <w:szCs w:val="18"/>
        </w:rPr>
        <w:t xml:space="preserve"> of Parkinson’s patients to control normal.</w:t>
      </w:r>
    </w:p>
    <w:p w14:paraId="76C206C4" w14:textId="77777777" w:rsidR="006729A7" w:rsidRDefault="006729A7" w:rsidP="00535EB2">
      <w:pPr>
        <w:rPr>
          <w:sz w:val="21"/>
          <w:szCs w:val="21"/>
        </w:rPr>
      </w:pPr>
    </w:p>
    <w:p w14:paraId="1B807493" w14:textId="77777777" w:rsidR="006729A7" w:rsidRPr="00535EB2" w:rsidRDefault="006729A7" w:rsidP="00535EB2">
      <w:pPr>
        <w:rPr>
          <w:sz w:val="21"/>
          <w:szCs w:val="21"/>
        </w:rPr>
      </w:pPr>
    </w:p>
    <w:p w14:paraId="610E5E4C" w14:textId="4076FAD5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Taken together, these results demonstrate significantly reduced normalized right and left habenula </w:t>
      </w:r>
      <w:r w:rsidR="00B946F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volume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in PD patients compared to healthy controls. The large effect sizes signify that these differences are highly clinically meaningful. The findings suggest substantial </w:t>
      </w:r>
      <w:r w:rsidR="006729A7"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535EB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atrophy is present in PD.</w:t>
      </w:r>
    </w:p>
    <w:p w14:paraId="2F819259" w14:textId="18D8396D" w:rsidR="00484D30" w:rsidRDefault="00484D30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3A1FBCF3" w14:textId="77777777" w:rsidR="00484D30" w:rsidRPr="00535EB2" w:rsidRDefault="00484D30" w:rsidP="00535EB2">
      <w:pPr>
        <w:rPr>
          <w:sz w:val="21"/>
          <w:szCs w:val="21"/>
        </w:rPr>
      </w:pPr>
    </w:p>
    <w:p w14:paraId="14DAA7D2" w14:textId="2CD510ED" w:rsidR="00535EB2" w:rsidRDefault="00484D30" w:rsidP="00535EB2">
      <w:pPr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</w:pPr>
      <w:r w:rsidRPr="00484D30"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  <w:t xml:space="preserve">Total Habenula Volume </w:t>
      </w:r>
      <w:proofErr w:type="gramStart"/>
      <w:r w:rsidRPr="00484D30"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  <w:t>Analysis :</w:t>
      </w:r>
      <w:proofErr w:type="gramEnd"/>
      <w:r w:rsidRPr="00484D30"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  <w:t xml:space="preserve"> </w:t>
      </w:r>
    </w:p>
    <w:p w14:paraId="04F7155D" w14:textId="77777777" w:rsidR="00484D30" w:rsidRDefault="00484D30" w:rsidP="00535EB2">
      <w:pPr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</w:pPr>
    </w:p>
    <w:p w14:paraId="7C500C45" w14:textId="115F2DBF" w:rsidR="00484D30" w:rsidRDefault="00484D30" w:rsidP="00484D30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The total (left + right) habenula volume was compared between PD and CN groups using an independent samples t-test. Total habenula volume was calculated by summing the left and right habenula volumes for each participant.</w:t>
      </w:r>
      <w:r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</w:p>
    <w:p w14:paraId="6A6BC494" w14:textId="15FB4C48" w:rsidR="00484D30" w:rsidRDefault="00484D30" w:rsidP="00484D30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Prior to analysis, assumptions of normality and homogeneity of variance were assessed. As seen in the stem-and-leaf plots and Q-Q plots, total habenula volume was normally distributed in both groups (p &gt; .05). </w:t>
      </w:r>
      <w:proofErr w:type="spellStart"/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Levene's</w:t>
      </w:r>
      <w:proofErr w:type="spellEnd"/>
      <w:r w:rsidRP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test indicated unequal variances between groups (p = .010), so the unequal variances t-test output was interpreted.</w:t>
      </w:r>
    </w:p>
    <w:p w14:paraId="50691E4C" w14:textId="187F09A9" w:rsidR="00484D30" w:rsidRPr="00484D30" w:rsidRDefault="00484D30" w:rsidP="00484D30">
      <w:pPr>
        <w:rPr>
          <w:rFonts w:ascii="Helvetica Neue" w:hAnsi="Helvetica Neue" w:cstheme="majorBidi"/>
          <w:sz w:val="21"/>
          <w:szCs w:val="21"/>
        </w:rPr>
      </w:pPr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 xml:space="preserve">The t-test revealed that total </w:t>
      </w:r>
      <w:r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>habenula</w:t>
      </w:r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 xml:space="preserve"> volume was significantly smaller in PD (mean = 36.14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 xml:space="preserve">, SD = 10.53) compared to CN (mean = 47.95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 xml:space="preserve">, SD = 8.24), </w:t>
      </w:r>
      <w:proofErr w:type="gramStart"/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>t(</w:t>
      </w:r>
      <w:proofErr w:type="gramEnd"/>
      <w:r w:rsidRPr="00484D30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>187.19) = 8.84, p &lt; .001. The mean difference was 11.82 mm3 and the effect size was very large (Cohen's d = 1.25).</w:t>
      </w:r>
      <w:r w:rsidR="00D93C5E">
        <w:rPr>
          <w:rFonts w:ascii="Helvetica Neue" w:hAnsi="Helvetica Neue" w:cstheme="majorBidi"/>
          <w:color w:val="1C1917"/>
          <w:sz w:val="21"/>
          <w:szCs w:val="21"/>
          <w:shd w:val="clear" w:color="auto" w:fill="FFFFFF"/>
        </w:rPr>
        <w:t>’</w:t>
      </w:r>
    </w:p>
    <w:p w14:paraId="64AA222C" w14:textId="77777777" w:rsidR="00484D30" w:rsidRPr="00484D30" w:rsidRDefault="00484D30" w:rsidP="00484D30">
      <w:pPr>
        <w:rPr>
          <w:rFonts w:hint="cs"/>
          <w:sz w:val="21"/>
          <w:szCs w:val="21"/>
          <w:rtl/>
          <w:lang w:bidi="fa-IR"/>
        </w:rPr>
      </w:pPr>
    </w:p>
    <w:tbl>
      <w:tblPr>
        <w:tblStyle w:val="PlainTable5"/>
        <w:tblW w:w="9825" w:type="dxa"/>
        <w:jc w:val="center"/>
        <w:tblLook w:val="04A0" w:firstRow="1" w:lastRow="0" w:firstColumn="1" w:lastColumn="0" w:noHBand="0" w:noVBand="1"/>
      </w:tblPr>
      <w:tblGrid>
        <w:gridCol w:w="1579"/>
        <w:gridCol w:w="1198"/>
        <w:gridCol w:w="1198"/>
        <w:gridCol w:w="1198"/>
        <w:gridCol w:w="1198"/>
        <w:gridCol w:w="1797"/>
        <w:gridCol w:w="1657"/>
      </w:tblGrid>
      <w:tr w:rsidR="00D93C5E" w:rsidRPr="006729A7" w14:paraId="6DDD35F0" w14:textId="77777777" w:rsidTr="00D9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</w:tcPr>
          <w:p w14:paraId="2C732290" w14:textId="77777777" w:rsidR="00D93C5E" w:rsidRPr="000D3FE8" w:rsidRDefault="00D93C5E" w:rsidP="00D93C5E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</w:tcPr>
          <w:p w14:paraId="2A41570E" w14:textId="2B296A5C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Mean Volume of CN Group</w:t>
            </w:r>
          </w:p>
        </w:tc>
        <w:tc>
          <w:tcPr>
            <w:tcW w:w="1198" w:type="dxa"/>
          </w:tcPr>
          <w:p w14:paraId="49AE5421" w14:textId="6335E707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 xml:space="preserve">Mean Volume of </w:t>
            </w: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PD</w:t>
            </w: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 xml:space="preserve"> Group</w:t>
            </w:r>
          </w:p>
        </w:tc>
        <w:tc>
          <w:tcPr>
            <w:tcW w:w="1198" w:type="dxa"/>
          </w:tcPr>
          <w:p w14:paraId="0C4E1EAB" w14:textId="2614F72A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t-value</w:t>
            </w:r>
          </w:p>
        </w:tc>
        <w:tc>
          <w:tcPr>
            <w:tcW w:w="1198" w:type="dxa"/>
          </w:tcPr>
          <w:p w14:paraId="55040D63" w14:textId="726AF536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df</w:t>
            </w:r>
          </w:p>
        </w:tc>
        <w:tc>
          <w:tcPr>
            <w:tcW w:w="1797" w:type="dxa"/>
          </w:tcPr>
          <w:p w14:paraId="178263C9" w14:textId="77777777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Mean Difference</w:t>
            </w:r>
          </w:p>
        </w:tc>
        <w:tc>
          <w:tcPr>
            <w:tcW w:w="1657" w:type="dxa"/>
          </w:tcPr>
          <w:p w14:paraId="003AE12D" w14:textId="71EBAD28" w:rsidR="00D93C5E" w:rsidRPr="006729A7" w:rsidRDefault="00D93C5E" w:rsidP="00D9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p-v</w:t>
            </w:r>
            <w:r w:rsidRPr="006729A7">
              <w:rPr>
                <w:rFonts w:ascii="Helvetica Neue" w:hAnsi="Helvetica Neue"/>
                <w:b/>
                <w:bCs/>
                <w:sz w:val="18"/>
                <w:szCs w:val="18"/>
              </w:rPr>
              <w:t>alue</w:t>
            </w:r>
          </w:p>
        </w:tc>
      </w:tr>
      <w:tr w:rsidR="00D93C5E" w:rsidRPr="006729A7" w14:paraId="400F97B0" w14:textId="77777777" w:rsidTr="00D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5A6B3A0A" w14:textId="1EF30C78" w:rsidR="00D93C5E" w:rsidRPr="000D3FE8" w:rsidRDefault="00D93C5E" w:rsidP="00D93C5E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Total Volume of Habenula</w:t>
            </w:r>
          </w:p>
        </w:tc>
        <w:tc>
          <w:tcPr>
            <w:tcW w:w="1198" w:type="dxa"/>
          </w:tcPr>
          <w:p w14:paraId="778ED73F" w14:textId="4EC384AC" w:rsidR="00D93C5E" w:rsidRDefault="00D93C5E" w:rsidP="00D9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47.953</w:t>
            </w:r>
          </w:p>
        </w:tc>
        <w:tc>
          <w:tcPr>
            <w:tcW w:w="1198" w:type="dxa"/>
          </w:tcPr>
          <w:p w14:paraId="4ED7479E" w14:textId="5E57B97E" w:rsidR="00D93C5E" w:rsidRDefault="00D93C5E" w:rsidP="00D9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36.135</w:t>
            </w:r>
          </w:p>
        </w:tc>
        <w:tc>
          <w:tcPr>
            <w:tcW w:w="1198" w:type="dxa"/>
          </w:tcPr>
          <w:p w14:paraId="5F9E3719" w14:textId="567941A6" w:rsidR="00D93C5E" w:rsidRDefault="00D93C5E" w:rsidP="00D9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sz w:val="20"/>
                <w:szCs w:val="20"/>
              </w:rPr>
              <w:t>7.776</w:t>
            </w:r>
          </w:p>
        </w:tc>
        <w:tc>
          <w:tcPr>
            <w:tcW w:w="1198" w:type="dxa"/>
          </w:tcPr>
          <w:p w14:paraId="7F798805" w14:textId="2BFB37F3" w:rsidR="00D93C5E" w:rsidRPr="006729A7" w:rsidRDefault="00D93C5E" w:rsidP="00D9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187.189</w:t>
            </w:r>
          </w:p>
        </w:tc>
        <w:tc>
          <w:tcPr>
            <w:tcW w:w="1797" w:type="dxa"/>
          </w:tcPr>
          <w:p w14:paraId="74642EE9" w14:textId="7A675E0E" w:rsidR="00D93C5E" w:rsidRPr="006729A7" w:rsidRDefault="00D93C5E" w:rsidP="00D93C5E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11.818</w:t>
            </w:r>
          </w:p>
        </w:tc>
        <w:tc>
          <w:tcPr>
            <w:tcW w:w="1657" w:type="dxa"/>
          </w:tcPr>
          <w:p w14:paraId="42688DAA" w14:textId="77777777" w:rsidR="00D93C5E" w:rsidRPr="006729A7" w:rsidRDefault="00D93C5E" w:rsidP="00D93C5E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&lt; 0.001</w:t>
            </w:r>
          </w:p>
        </w:tc>
      </w:tr>
    </w:tbl>
    <w:p w14:paraId="3A1B2C05" w14:textId="77777777" w:rsidR="00D93C5E" w:rsidRDefault="00D93C5E" w:rsidP="00D93C5E">
      <w:pPr>
        <w:jc w:val="center"/>
        <w:rPr>
          <w:b/>
          <w:bCs/>
          <w:sz w:val="18"/>
          <w:szCs w:val="18"/>
        </w:rPr>
      </w:pPr>
    </w:p>
    <w:p w14:paraId="61E715FF" w14:textId="67F4A742" w:rsidR="00D93C5E" w:rsidRDefault="00D93C5E" w:rsidP="00D93C5E">
      <w:pPr>
        <w:jc w:val="center"/>
        <w:rPr>
          <w:b/>
          <w:bCs/>
        </w:rPr>
      </w:pPr>
      <w:r w:rsidRPr="000D3FE8">
        <w:rPr>
          <w:b/>
          <w:bCs/>
          <w:sz w:val="18"/>
          <w:szCs w:val="18"/>
        </w:rPr>
        <w:t>Table</w:t>
      </w:r>
      <w:r>
        <w:rPr>
          <w:b/>
          <w:bCs/>
          <w:sz w:val="18"/>
          <w:szCs w:val="18"/>
        </w:rPr>
        <w:t xml:space="preserve"> 5</w:t>
      </w:r>
      <w:r w:rsidRPr="000D3FE8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="00F7434E">
        <w:rPr>
          <w:sz w:val="18"/>
          <w:szCs w:val="18"/>
        </w:rPr>
        <w:t>Total Volume of Habenula an</w:t>
      </w:r>
      <w:bookmarkStart w:id="0" w:name="_GoBack"/>
      <w:bookmarkEnd w:id="0"/>
      <w:r w:rsidR="00F7434E">
        <w:rPr>
          <w:sz w:val="18"/>
          <w:szCs w:val="18"/>
        </w:rPr>
        <w:t>alysis results.</w:t>
      </w:r>
    </w:p>
    <w:p w14:paraId="0B6ABD2D" w14:textId="77777777" w:rsidR="00484D30" w:rsidRPr="00484D30" w:rsidRDefault="00484D30" w:rsidP="00484D30">
      <w:pPr>
        <w:rPr>
          <w:sz w:val="21"/>
          <w:szCs w:val="21"/>
        </w:rPr>
      </w:pPr>
    </w:p>
    <w:p w14:paraId="747B5CA9" w14:textId="77777777" w:rsidR="00484D30" w:rsidRPr="00484D30" w:rsidRDefault="00484D30" w:rsidP="00535EB2">
      <w:pPr>
        <w:rPr>
          <w:rFonts w:asciiTheme="majorBidi" w:hAnsiTheme="majorBidi" w:cstheme="majorBidi"/>
          <w:b/>
          <w:bCs/>
          <w:color w:val="1C1917"/>
          <w:sz w:val="22"/>
          <w:szCs w:val="22"/>
          <w:shd w:val="clear" w:color="auto" w:fill="FFFFFF"/>
        </w:rPr>
      </w:pPr>
    </w:p>
    <w:p w14:paraId="3CD320EC" w14:textId="77777777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7B985302" w14:textId="25ED5C0D" w:rsidR="00535EB2" w:rsidRDefault="00CB1BA2" w:rsidP="00535EB2">
      <w:pPr>
        <w:rPr>
          <w:b/>
          <w:bCs/>
          <w:sz w:val="22"/>
          <w:szCs w:val="22"/>
          <w:lang w:bidi="fa-IR"/>
        </w:rPr>
      </w:pPr>
      <w:r w:rsidRPr="00CB1BA2">
        <w:rPr>
          <w:b/>
          <w:bCs/>
          <w:sz w:val="22"/>
          <w:szCs w:val="22"/>
        </w:rPr>
        <w:t xml:space="preserve">Laterality </w:t>
      </w:r>
      <w:proofErr w:type="gramStart"/>
      <w:r w:rsidRPr="00CB1BA2">
        <w:rPr>
          <w:b/>
          <w:bCs/>
          <w:sz w:val="22"/>
          <w:szCs w:val="22"/>
        </w:rPr>
        <w:t>Analysis</w:t>
      </w:r>
      <w:r>
        <w:rPr>
          <w:b/>
          <w:bCs/>
          <w:sz w:val="22"/>
          <w:szCs w:val="22"/>
        </w:rPr>
        <w:t xml:space="preserve"> :</w:t>
      </w:r>
      <w:proofErr w:type="gramEnd"/>
    </w:p>
    <w:p w14:paraId="1DF11FD6" w14:textId="77777777" w:rsidR="00CB1BA2" w:rsidRDefault="00CB1BA2" w:rsidP="00535EB2">
      <w:pPr>
        <w:rPr>
          <w:b/>
          <w:bCs/>
          <w:sz w:val="22"/>
          <w:szCs w:val="22"/>
        </w:rPr>
      </w:pPr>
    </w:p>
    <w:p w14:paraId="00D340E7" w14:textId="1993E864" w:rsidR="00CB1BA2" w:rsidRPr="00CB1BA2" w:rsidRDefault="00CB1BA2" w:rsidP="00CB1BA2">
      <w:pPr>
        <w:rPr>
          <w:sz w:val="21"/>
          <w:szCs w:val="21"/>
        </w:rPr>
      </w:pP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For the control group, a paired samples t-test indicated there was a statistically significant difference between left (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mean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=23.54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, SD=4.04) and right (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mean 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=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24.41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SD=4.79) </w:t>
      </w:r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volumes (t(</w:t>
      </w:r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df = 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99)=-2.661, p=0.009). The mean difference between left and right volume was -0.87 (95% CI [-1.52, -0.22]). The effect size was small to medium (Cohen's d=-0.27).</w:t>
      </w:r>
    </w:p>
    <w:p w14:paraId="00CE1ECB" w14:textId="6C6FEDD9" w:rsidR="00CB1BA2" w:rsidRDefault="00CB1BA2" w:rsidP="00CB1BA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Similarly for the Parkinson's disease group, there was a significant difference between left (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mean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=17.60</w:t>
      </w:r>
      <w:r w:rsidR="00484D30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mm</m:t>
            </m:r>
          </m:e>
          <m:sup>
            <m:r>
              <w:rPr>
                <w:rFonts w:ascii="Cambria Math" w:hAnsi="Cambria Math"/>
                <w:color w:val="1C1917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, SD=5.16) and right (M=18.54, SD=5.84) </w:t>
      </w:r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volumes (</w:t>
      </w:r>
      <w:proofErr w:type="gramStart"/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t(</w:t>
      </w:r>
      <w:proofErr w:type="gramEnd"/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df = 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99)=-2.890, p=0.005). The mean difference was -0.94 (95% CI [-1.59, -0.29]) with a small to medium effect size (Cohen's d=-0.29).</w:t>
      </w:r>
    </w:p>
    <w:p w14:paraId="633FEF04" w14:textId="26C14B47" w:rsidR="00CB1BA2" w:rsidRDefault="00CB1BA2" w:rsidP="00CB1BA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6071AFD1" w14:textId="77777777" w:rsidR="00CB1BA2" w:rsidRDefault="00CB1BA2" w:rsidP="00CB1BA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tbl>
      <w:tblPr>
        <w:tblStyle w:val="PlainTable5"/>
        <w:tblW w:w="11750" w:type="dxa"/>
        <w:jc w:val="center"/>
        <w:tblLook w:val="04A0" w:firstRow="1" w:lastRow="0" w:firstColumn="1" w:lastColumn="0" w:noHBand="0" w:noVBand="1"/>
      </w:tblPr>
      <w:tblGrid>
        <w:gridCol w:w="1746"/>
        <w:gridCol w:w="1036"/>
        <w:gridCol w:w="1368"/>
        <w:gridCol w:w="2017"/>
        <w:gridCol w:w="1861"/>
        <w:gridCol w:w="1861"/>
        <w:gridCol w:w="1861"/>
      </w:tblGrid>
      <w:tr w:rsidR="00CB1BA2" w14:paraId="6462400E" w14:textId="52A796D4" w:rsidTr="00CB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6" w:type="dxa"/>
          </w:tcPr>
          <w:p w14:paraId="65DB05EE" w14:textId="77777777" w:rsidR="00CB1BA2" w:rsidRPr="000D3FE8" w:rsidRDefault="00CB1BA2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</w:p>
        </w:tc>
        <w:tc>
          <w:tcPr>
            <w:tcW w:w="1036" w:type="dxa"/>
          </w:tcPr>
          <w:p w14:paraId="1E7F6CC1" w14:textId="7904215B" w:rsidR="00CB1BA2" w:rsidRPr="006729A7" w:rsidRDefault="00484D30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 xml:space="preserve">Mean </w:t>
            </w:r>
            <w:r w:rsidR="00CB1BA2">
              <w:rPr>
                <w:rFonts w:ascii="Helvetica Neue" w:hAnsi="Helvetica Neue"/>
                <w:b/>
                <w:bCs/>
                <w:sz w:val="18"/>
                <w:szCs w:val="18"/>
              </w:rPr>
              <w:t>Left Habenula Volume</w:t>
            </w:r>
          </w:p>
        </w:tc>
        <w:tc>
          <w:tcPr>
            <w:tcW w:w="1368" w:type="dxa"/>
          </w:tcPr>
          <w:p w14:paraId="197BF42B" w14:textId="1E19DC97" w:rsidR="00CB1BA2" w:rsidRPr="006729A7" w:rsidRDefault="00484D30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 xml:space="preserve">Mean </w:t>
            </w:r>
            <w:r w:rsidR="00CB1BA2">
              <w:rPr>
                <w:rFonts w:ascii="Helvetica Neue" w:hAnsi="Helvetica Neue"/>
                <w:b/>
                <w:bCs/>
                <w:sz w:val="18"/>
                <w:szCs w:val="18"/>
              </w:rPr>
              <w:t>Right Habenula Volume</w:t>
            </w:r>
          </w:p>
        </w:tc>
        <w:tc>
          <w:tcPr>
            <w:tcW w:w="2017" w:type="dxa"/>
          </w:tcPr>
          <w:p w14:paraId="4352D71C" w14:textId="5411A8CD" w:rsidR="00CB1BA2" w:rsidRPr="006729A7" w:rsidRDefault="00CB1BA2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t-value</w:t>
            </w:r>
          </w:p>
        </w:tc>
        <w:tc>
          <w:tcPr>
            <w:tcW w:w="1861" w:type="dxa"/>
          </w:tcPr>
          <w:p w14:paraId="5C131D92" w14:textId="1BF38245" w:rsidR="00CB1BA2" w:rsidRPr="006729A7" w:rsidRDefault="00CB1BA2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1861" w:type="dxa"/>
          </w:tcPr>
          <w:p w14:paraId="5F53F507" w14:textId="27BCFD3E" w:rsidR="00CB1BA2" w:rsidRDefault="00CB1BA2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Mean Difference (95% CI)</w:t>
            </w:r>
          </w:p>
        </w:tc>
        <w:tc>
          <w:tcPr>
            <w:tcW w:w="1861" w:type="dxa"/>
          </w:tcPr>
          <w:p w14:paraId="0252356F" w14:textId="5F0C4130" w:rsidR="00CB1BA2" w:rsidRDefault="00CB1BA2" w:rsidP="006B0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Cohen’s d</w:t>
            </w:r>
          </w:p>
        </w:tc>
      </w:tr>
      <w:tr w:rsidR="00CB1BA2" w14:paraId="5B553157" w14:textId="26D8A4D0" w:rsidTr="00CB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8404702" w14:textId="17FEBE1B" w:rsidR="00CB1BA2" w:rsidRPr="000D3FE8" w:rsidRDefault="00CB1BA2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Control Group</w:t>
            </w:r>
          </w:p>
        </w:tc>
        <w:tc>
          <w:tcPr>
            <w:tcW w:w="1036" w:type="dxa"/>
          </w:tcPr>
          <w:p w14:paraId="44F0DD1C" w14:textId="0E054F11" w:rsidR="00CB1BA2" w:rsidRPr="006729A7" w:rsidRDefault="00CB1BA2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23.54 </w:t>
            </w:r>
            <w:r>
              <w:rPr>
                <w:rFonts w:ascii="Helvetica Neue" w:hAnsi="Helvetica Neue"/>
                <w:sz w:val="20"/>
                <w:szCs w:val="20"/>
              </w:rPr>
              <w:sym w:font="Symbol" w:char="F0B1"/>
            </w:r>
            <w:r>
              <w:rPr>
                <w:rFonts w:ascii="Helvetica Neue" w:hAnsi="Helvetica Neue"/>
                <w:sz w:val="20"/>
                <w:szCs w:val="20"/>
              </w:rPr>
              <w:t xml:space="preserve"> 4.04</w:t>
            </w:r>
          </w:p>
        </w:tc>
        <w:tc>
          <w:tcPr>
            <w:tcW w:w="1368" w:type="dxa"/>
          </w:tcPr>
          <w:p w14:paraId="675F5CA7" w14:textId="3406502E" w:rsidR="00CB1BA2" w:rsidRPr="006729A7" w:rsidRDefault="00CB1BA2" w:rsidP="006B0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24.41 </w:t>
            </w:r>
            <w:r>
              <w:rPr>
                <w:rFonts w:ascii="Helvetica Neue" w:hAnsi="Helvetica Neue"/>
                <w:sz w:val="20"/>
                <w:szCs w:val="20"/>
              </w:rPr>
              <w:sym w:font="Symbol" w:char="F0B1"/>
            </w:r>
            <w:r>
              <w:rPr>
                <w:rFonts w:ascii="Helvetica Neue" w:hAnsi="Helvetica Neue"/>
                <w:sz w:val="20"/>
                <w:szCs w:val="20"/>
              </w:rPr>
              <w:t xml:space="preserve"> 4.79</w:t>
            </w:r>
          </w:p>
        </w:tc>
        <w:tc>
          <w:tcPr>
            <w:tcW w:w="2017" w:type="dxa"/>
          </w:tcPr>
          <w:p w14:paraId="50725892" w14:textId="4CF1A1D9" w:rsidR="00CB1BA2" w:rsidRPr="006729A7" w:rsidRDefault="00CB1BA2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- 2.661</w:t>
            </w:r>
          </w:p>
        </w:tc>
        <w:tc>
          <w:tcPr>
            <w:tcW w:w="1861" w:type="dxa"/>
          </w:tcPr>
          <w:p w14:paraId="4DBCB414" w14:textId="04041343" w:rsidR="00CB1BA2" w:rsidRPr="006729A7" w:rsidRDefault="00CB1BA2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0.00</w:t>
            </w:r>
            <w:r>
              <w:rPr>
                <w:rFonts w:ascii="Helvetica Neue" w:hAnsi="Helvetica Neue"/>
                <w:color w:val="000002"/>
                <w:sz w:val="20"/>
                <w:szCs w:val="20"/>
              </w:rPr>
              <w:t>9</w:t>
            </w:r>
          </w:p>
        </w:tc>
        <w:tc>
          <w:tcPr>
            <w:tcW w:w="1861" w:type="dxa"/>
          </w:tcPr>
          <w:p w14:paraId="1EE1CEBC" w14:textId="4E5E0F82" w:rsidR="00CB1BA2" w:rsidRPr="006729A7" w:rsidRDefault="00CB1BA2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2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- 0.87 (-1.52, -0.22)</w:t>
            </w:r>
          </w:p>
        </w:tc>
        <w:tc>
          <w:tcPr>
            <w:tcW w:w="1861" w:type="dxa"/>
          </w:tcPr>
          <w:p w14:paraId="60378FF6" w14:textId="516C11EF" w:rsidR="00CB1BA2" w:rsidRPr="006729A7" w:rsidRDefault="00CB1BA2" w:rsidP="006B0B9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2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- 0.27</w:t>
            </w:r>
          </w:p>
        </w:tc>
      </w:tr>
      <w:tr w:rsidR="00CB1BA2" w14:paraId="0E5F8187" w14:textId="4E9ABD63" w:rsidTr="00CB1BA2">
        <w:trPr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6E52BAC8" w14:textId="37E6B584" w:rsidR="00CB1BA2" w:rsidRPr="000D3FE8" w:rsidRDefault="00CB1BA2" w:rsidP="006B0B93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sz w:val="18"/>
                <w:szCs w:val="18"/>
              </w:rPr>
              <w:t>Parkinson’s Group</w:t>
            </w:r>
          </w:p>
        </w:tc>
        <w:tc>
          <w:tcPr>
            <w:tcW w:w="1036" w:type="dxa"/>
          </w:tcPr>
          <w:p w14:paraId="76D4853C" w14:textId="6C52656A" w:rsidR="00CB1BA2" w:rsidRPr="006729A7" w:rsidRDefault="00CB1BA2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17.60 </w:t>
            </w:r>
            <w:r>
              <w:rPr>
                <w:rFonts w:ascii="Helvetica Neue" w:hAnsi="Helvetica Neue"/>
                <w:sz w:val="20"/>
                <w:szCs w:val="20"/>
              </w:rPr>
              <w:sym w:font="Symbol" w:char="F0B1"/>
            </w:r>
            <w:r>
              <w:rPr>
                <w:rFonts w:ascii="Helvetica Neue" w:hAnsi="Helvetica Neue"/>
                <w:sz w:val="20"/>
                <w:szCs w:val="20"/>
              </w:rPr>
              <w:t xml:space="preserve"> 5.16</w:t>
            </w:r>
          </w:p>
        </w:tc>
        <w:tc>
          <w:tcPr>
            <w:tcW w:w="1368" w:type="dxa"/>
          </w:tcPr>
          <w:p w14:paraId="5208554B" w14:textId="558FB70E" w:rsidR="00CB1BA2" w:rsidRPr="006729A7" w:rsidRDefault="00CB1BA2" w:rsidP="006B0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18.54 </w:t>
            </w:r>
            <w:r>
              <w:rPr>
                <w:rFonts w:ascii="Helvetica Neue" w:hAnsi="Helvetica Neue"/>
                <w:sz w:val="20"/>
                <w:szCs w:val="20"/>
              </w:rPr>
              <w:sym w:font="Symbol" w:char="F0B1"/>
            </w:r>
            <w:r>
              <w:rPr>
                <w:rFonts w:ascii="Helvetica Neue" w:hAnsi="Helvetica Neue"/>
                <w:sz w:val="20"/>
                <w:szCs w:val="20"/>
              </w:rPr>
              <w:t xml:space="preserve"> 5.84</w:t>
            </w:r>
          </w:p>
        </w:tc>
        <w:tc>
          <w:tcPr>
            <w:tcW w:w="2017" w:type="dxa"/>
          </w:tcPr>
          <w:p w14:paraId="24BCF9E3" w14:textId="453BE39C" w:rsidR="00CB1BA2" w:rsidRPr="006729A7" w:rsidRDefault="00CB1BA2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- 2.890</w:t>
            </w:r>
          </w:p>
        </w:tc>
        <w:tc>
          <w:tcPr>
            <w:tcW w:w="1861" w:type="dxa"/>
          </w:tcPr>
          <w:p w14:paraId="00CB3290" w14:textId="5F745117" w:rsidR="00CB1BA2" w:rsidRPr="006729A7" w:rsidRDefault="00CB1BA2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6729A7">
              <w:rPr>
                <w:rFonts w:ascii="Helvetica Neue" w:hAnsi="Helvetica Neue"/>
                <w:color w:val="000002"/>
                <w:sz w:val="20"/>
                <w:szCs w:val="20"/>
              </w:rPr>
              <w:t>0.00</w:t>
            </w:r>
            <w:r>
              <w:rPr>
                <w:rFonts w:ascii="Helvetica Neue" w:hAnsi="Helvetica Neue"/>
                <w:color w:val="000002"/>
                <w:sz w:val="20"/>
                <w:szCs w:val="20"/>
              </w:rPr>
              <w:t>5</w:t>
            </w:r>
          </w:p>
        </w:tc>
        <w:tc>
          <w:tcPr>
            <w:tcW w:w="1861" w:type="dxa"/>
          </w:tcPr>
          <w:p w14:paraId="30A95CAA" w14:textId="3262D611" w:rsidR="00CB1BA2" w:rsidRPr="006729A7" w:rsidRDefault="00CB1BA2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2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- 0.94 ( -1.59, -0.29)</w:t>
            </w:r>
          </w:p>
        </w:tc>
        <w:tc>
          <w:tcPr>
            <w:tcW w:w="1861" w:type="dxa"/>
          </w:tcPr>
          <w:p w14:paraId="216063D2" w14:textId="491CC8D1" w:rsidR="00CB1BA2" w:rsidRPr="006729A7" w:rsidRDefault="00CB1BA2" w:rsidP="006B0B9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2"/>
                <w:sz w:val="20"/>
                <w:szCs w:val="20"/>
              </w:rPr>
            </w:pPr>
            <w:r>
              <w:rPr>
                <w:rFonts w:ascii="Helvetica Neue" w:hAnsi="Helvetica Neue"/>
                <w:color w:val="000002"/>
                <w:sz w:val="20"/>
                <w:szCs w:val="20"/>
              </w:rPr>
              <w:t>- 0.29</w:t>
            </w:r>
          </w:p>
        </w:tc>
      </w:tr>
    </w:tbl>
    <w:p w14:paraId="2589A482" w14:textId="77777777" w:rsidR="00CB1BA2" w:rsidRDefault="00CB1BA2" w:rsidP="00CB1BA2">
      <w:pPr>
        <w:jc w:val="center"/>
        <w:rPr>
          <w:b/>
          <w:bCs/>
          <w:sz w:val="18"/>
          <w:szCs w:val="18"/>
        </w:rPr>
      </w:pPr>
    </w:p>
    <w:p w14:paraId="540E8405" w14:textId="587F249B" w:rsidR="00CB1BA2" w:rsidRDefault="00CB1BA2" w:rsidP="00CB1BA2">
      <w:pPr>
        <w:jc w:val="center"/>
        <w:rPr>
          <w:b/>
          <w:bCs/>
        </w:rPr>
      </w:pPr>
      <w:r w:rsidRPr="000D3FE8">
        <w:rPr>
          <w:b/>
          <w:bCs/>
          <w:sz w:val="18"/>
          <w:szCs w:val="18"/>
        </w:rPr>
        <w:t>Table</w:t>
      </w:r>
      <w:r>
        <w:rPr>
          <w:b/>
          <w:bCs/>
          <w:sz w:val="18"/>
          <w:szCs w:val="18"/>
        </w:rPr>
        <w:t xml:space="preserve"> </w:t>
      </w:r>
      <w:r w:rsidR="00D93C5E">
        <w:rPr>
          <w:b/>
          <w:bCs/>
          <w:sz w:val="18"/>
          <w:szCs w:val="18"/>
        </w:rPr>
        <w:t>5</w:t>
      </w:r>
      <w:r w:rsidRPr="000D3FE8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Laterality analysis of the habenula volume in groups</w:t>
      </w:r>
      <w:r>
        <w:rPr>
          <w:sz w:val="18"/>
          <w:szCs w:val="18"/>
        </w:rPr>
        <w:t>.</w:t>
      </w:r>
    </w:p>
    <w:p w14:paraId="3FBA36F4" w14:textId="7050D376" w:rsidR="00CB1BA2" w:rsidRDefault="00CB1BA2" w:rsidP="00CB1BA2">
      <w:pPr>
        <w:rPr>
          <w:sz w:val="21"/>
          <w:szCs w:val="21"/>
        </w:rPr>
      </w:pPr>
    </w:p>
    <w:p w14:paraId="67CD5864" w14:textId="77777777" w:rsidR="00CB1BA2" w:rsidRPr="00CB1BA2" w:rsidRDefault="00CB1BA2" w:rsidP="00CB1BA2">
      <w:pPr>
        <w:rPr>
          <w:sz w:val="21"/>
          <w:szCs w:val="21"/>
        </w:rPr>
      </w:pPr>
    </w:p>
    <w:p w14:paraId="4D753E8C" w14:textId="44CDF8AB" w:rsidR="00CB1BA2" w:rsidRPr="00CB1BA2" w:rsidRDefault="00CB1BA2" w:rsidP="00CB1BA2">
      <w:pPr>
        <w:rPr>
          <w:sz w:val="21"/>
          <w:szCs w:val="21"/>
        </w:rPr>
      </w:pP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In both groups, the left </w:t>
      </w:r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volume was significantly smaller than the right. These results demonstrate lateralization of </w:t>
      </w:r>
      <w:r w:rsidR="008A58CF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>habenula</w:t>
      </w:r>
      <w:r w:rsidRPr="00CB1BA2">
        <w:rPr>
          <w:rFonts w:ascii="Helvetica Neue" w:hAnsi="Helvetica Neue"/>
          <w:color w:val="1C1917"/>
          <w:sz w:val="21"/>
          <w:szCs w:val="21"/>
          <w:shd w:val="clear" w:color="auto" w:fill="FFFFFF"/>
        </w:rPr>
        <w:t xml:space="preserve"> volume in both healthy controls and Parkinson's disease patients, though the magnitude of lateralization appears slightly greater in Parkinson's disease based on the effect sizes.</w:t>
      </w:r>
    </w:p>
    <w:p w14:paraId="5A5148E5" w14:textId="77777777" w:rsidR="00CB1BA2" w:rsidRDefault="00CB1BA2" w:rsidP="00535EB2">
      <w:pPr>
        <w:rPr>
          <w:b/>
          <w:bCs/>
          <w:sz w:val="22"/>
          <w:szCs w:val="22"/>
        </w:rPr>
      </w:pPr>
    </w:p>
    <w:p w14:paraId="356B290F" w14:textId="77777777" w:rsidR="00CB1BA2" w:rsidRPr="00535EB2" w:rsidRDefault="00CB1BA2" w:rsidP="00535EB2">
      <w:pPr>
        <w:rPr>
          <w:b/>
          <w:bCs/>
          <w:sz w:val="22"/>
          <w:szCs w:val="22"/>
        </w:rPr>
      </w:pPr>
    </w:p>
    <w:p w14:paraId="3268FD73" w14:textId="77777777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0AFFB84D" w14:textId="2FCAD0BE" w:rsidR="00535EB2" w:rsidRDefault="00535EB2" w:rsidP="00535EB2">
      <w:pPr>
        <w:rPr>
          <w:rFonts w:ascii="Helvetica Neue" w:hAnsi="Helvetica Neue"/>
          <w:color w:val="1C1917"/>
          <w:sz w:val="21"/>
          <w:szCs w:val="21"/>
          <w:shd w:val="clear" w:color="auto" w:fill="FFFFFF"/>
        </w:rPr>
      </w:pPr>
    </w:p>
    <w:p w14:paraId="4CD374E8" w14:textId="77777777" w:rsidR="00535EB2" w:rsidRDefault="00535EB2"/>
    <w:sectPr w:rsidR="00535EB2" w:rsidSect="00DF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2"/>
    <w:rsid w:val="0004045A"/>
    <w:rsid w:val="0008477A"/>
    <w:rsid w:val="000D3FE8"/>
    <w:rsid w:val="001057CA"/>
    <w:rsid w:val="00147437"/>
    <w:rsid w:val="001E2EED"/>
    <w:rsid w:val="001F415A"/>
    <w:rsid w:val="003C721F"/>
    <w:rsid w:val="00444C23"/>
    <w:rsid w:val="00454C85"/>
    <w:rsid w:val="00484D30"/>
    <w:rsid w:val="004E5F28"/>
    <w:rsid w:val="00535EB2"/>
    <w:rsid w:val="005D038D"/>
    <w:rsid w:val="006130E0"/>
    <w:rsid w:val="00670DD7"/>
    <w:rsid w:val="006729A7"/>
    <w:rsid w:val="006B5BA2"/>
    <w:rsid w:val="006E5DDE"/>
    <w:rsid w:val="007844A5"/>
    <w:rsid w:val="00811B44"/>
    <w:rsid w:val="008715DC"/>
    <w:rsid w:val="00881F34"/>
    <w:rsid w:val="008A58CF"/>
    <w:rsid w:val="008E4A3F"/>
    <w:rsid w:val="008E51EA"/>
    <w:rsid w:val="00931AA4"/>
    <w:rsid w:val="0099785B"/>
    <w:rsid w:val="00A2044A"/>
    <w:rsid w:val="00A34E49"/>
    <w:rsid w:val="00A357CE"/>
    <w:rsid w:val="00A46460"/>
    <w:rsid w:val="00A74C29"/>
    <w:rsid w:val="00AF0637"/>
    <w:rsid w:val="00B0156C"/>
    <w:rsid w:val="00B557BA"/>
    <w:rsid w:val="00B74391"/>
    <w:rsid w:val="00B7503F"/>
    <w:rsid w:val="00B946FF"/>
    <w:rsid w:val="00BA3052"/>
    <w:rsid w:val="00BD0D15"/>
    <w:rsid w:val="00CB1BA2"/>
    <w:rsid w:val="00D74155"/>
    <w:rsid w:val="00D93C5E"/>
    <w:rsid w:val="00DF2948"/>
    <w:rsid w:val="00E11126"/>
    <w:rsid w:val="00E56822"/>
    <w:rsid w:val="00E90576"/>
    <w:rsid w:val="00EA13B7"/>
    <w:rsid w:val="00EB70D3"/>
    <w:rsid w:val="00F7434E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F95C1"/>
  <w15:chartTrackingRefBased/>
  <w15:docId w15:val="{645E4EE3-215E-A94E-9915-4707FB83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535E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D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3FE8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0D3F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3F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3F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94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2023-11-19T05:24:00Z</dcterms:created>
  <dcterms:modified xsi:type="dcterms:W3CDTF">2023-11-21T08:06:00Z</dcterms:modified>
</cp:coreProperties>
</file>