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pBdr>
                <w:bottom w:val="single" w:color="37DCF2" w:sz="6" w:space="16"/>
              </w:pBdr>
              <w:spacing w:before="4800"/>
            </w:pPr>
          </w:p>
          <w:p>
            <w:pPr>
              <w:spacing w:after="200" w:before="400" w:line="828" w:lineRule="atLeast"/>
            </w:pPr>
            <w:r>
              <w:rPr>
                <w:rFonts w:ascii="Calibri"/>
                <w:b/>
                <w:bCs/>
                <w:color w:val="FFFFFF"/>
                <w:sz w:val="72"/>
                <w:szCs w:val="72"/>
              </w:rPr>
              <w:t xml:space="preserve">TrustMesh</w:t>
            </w:r>
          </w:p>
          <w:p>
            <w:pPr>
              <w:spacing w:after="200" w:line="414" w:lineRule="atLeast"/>
            </w:pPr>
            <w:r>
              <w:rPr>
                <w:rFonts w:ascii="Calibri"/>
                <w:color w:val="B0B8C0"/>
                <w:sz w:val="36"/>
                <w:szCs w:val="36"/>
              </w:rPr>
              <w:t xml:space="preserve">Idea Capture Template</w:t>
            </w:r>
          </w:p>
          <w:p>
            <w:pPr>
              <w:spacing w:after="100"/>
            </w:pPr>
            <w:r>
              <w:rPr>
                <w:rFonts w:ascii="Calibri"/>
                <w:color w:val="90989F"/>
                <w:sz w:val="24"/>
                <w:szCs w:val="24"/>
              </w:rPr>
              <w:t xml:space="preserve">AI-Agent Orchestration of Telecom Network Signals</w:t>
            </w:r>
          </w:p>
          <w:p>
            <w:pPr>
              <w:spacing w:after="100"/>
            </w:pPr>
            <w:r>
              <w:rPr>
                <w:rFonts w:ascii="Calibri"/>
                <w:color w:val="90989F"/>
                <w:sz w:val="24"/>
                <w:szCs w:val="24"/>
              </w:rPr>
              <w:t xml:space="preserve">for Real-Time Fraud Defense in MENA Fintech</w:t>
            </w:r>
          </w:p>
          <w:p>
            <w:pPr>
              <w:spacing w:before="2000"/>
            </w:pPr>
          </w:p>
          <w:p>
            <w:r>
              <w:rPr>
                <w:rFonts w:ascii="Calibri"/>
                <w:color w:val="687078"/>
                <w:sz w:val="20"/>
                <w:szCs w:val="20"/>
              </w:rPr>
              <w:t xml:space="preserve">GSMA MENA Ignite Hackathon 2026</w:t>
            </w:r>
          </w:p>
          <w:p>
            <w:r>
              <w:rPr>
                <w:rFonts w:ascii="Calibri"/>
                <w:color w:val="687078"/>
                <w:sz w:val="20"/>
                <w:szCs w:val="20"/>
              </w:rPr>
              <w:t xml:space="preserve">Theme 4: Secure Fintech, Payments &amp; Anti-Fraud Innovation</w:t>
            </w:r>
          </w:p>
          <w:p>
            <w:r>
              <w:rPr>
                <w:rFonts w:ascii="Calibri"/>
                <w:color w:val="687078"/>
                <w:sz w:val="20"/>
                <w:szCs w:val="20"/>
              </w:rPr>
              <w:t xml:space="preserve">July 2026</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b/>
          <w:bCs/>
          <w:color w:val="0A1628"/>
          <w:sz w:val="32"/>
          <w:szCs w:val="32"/>
        </w:rPr>
        <w:t xml:space="preserve">1. Team &amp; Project Information</w:t>
      </w:r>
    </w:p>
    <w:tbl>
      <w:tblPr>
        <w:tblW w:type="pct" w:w="100%"/>
        <w:tblBorders>
          <w:top w:val="single" w:color="1B6B7A" w:sz="2"/>
          <w:left w:val="none"/>
          <w:bottom w:val="single" w:color="1B6B7A" w:sz="2"/>
          <w:right w:val="none"/>
          <w:insideH w:val="single" w:color="D0D0D0" w:sz="1"/>
          <w:insideV w:val="none"/>
        </w:tblBorders>
      </w:tblPr>
      <w:tblGrid>
        <w:gridCol w:w="100"/>
        <w:gridCol w:w="100"/>
      </w:tblGrid>
      <w:tr>
        <w:trPr>
          <w:cantSplit/>
          <w:tblHeader/>
        </w:trPr>
        <w:tc>
          <w:tcPr>
            <w:tcW w:type="pct" w:w="50%"/>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Field</w:t>
            </w:r>
          </w:p>
        </w:tc>
        <w:tc>
          <w:tcPr>
            <w:tcW w:type="pct" w:w="50%"/>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Details</w:t>
            </w:r>
          </w:p>
        </w:tc>
      </w:tr>
      <w:tr>
        <w:trPr>
          <w:cantSplit/>
          <w:tblHeader w:val="false"/>
        </w:trPr>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Project Name</w:t>
            </w:r>
          </w:p>
        </w:tc>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TrustMesh</w:t>
            </w:r>
          </w:p>
        </w:tc>
      </w:tr>
      <w:tr>
        <w:trPr>
          <w:cantSplit/>
          <w:tblHeader w:val="false"/>
        </w:trPr>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Team Name</w:t>
            </w:r>
          </w:p>
        </w:tc>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t>TrustMesh Security</w:t>
            </w:r>
          </w:p>
        </w:tc>
      </w:tr>
      <w:tr>
        <w:trPr>
          <w:cantSplit/>
          <w:tblHeader w:val="false"/>
        </w:trPr>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Team Members</w:t>
            </w:r>
          </w:p>
        </w:tc>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t>ATHIRA ANIL KUMAR (Full-Stack &amp; AI Engineer)</w:t>
            </w:r>
          </w:p>
        </w:tc>
      </w:tr>
      <w:tr>
        <w:trPr>
          <w:cantSplit/>
          <w:tblHeader w:val="false"/>
        </w:trPr>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Hackathon Theme</w:t>
            </w:r>
          </w:p>
        </w:tc>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Theme 4: Secure Fintech, Payments &amp; Anti-Fraud Innovation</w:t>
            </w:r>
          </w:p>
        </w:tc>
      </w:tr>
      <w:tr>
        <w:trPr>
          <w:cantSplit/>
          <w:tblHeader w:val="false"/>
        </w:trPr>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Submission Phase</w:t>
            </w:r>
          </w:p>
        </w:tc>
        <w:tc>
          <w:tcPr>
            <w:tcW w:type="pct" w:w="50%"/>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Phase 1: Idea Evaluation (Idea Capture Template + Pitch Deck)</w:t>
            </w:r>
          </w:p>
        </w:tc>
      </w:tr>
    </w:tbl>
    <w:p>
      <w:pPr>
        <w:spacing w:after="200"/>
      </w:pPr>
    </w:p>
    <w:p>
      <w:pPr>
        <w:pStyle w:val="Heading1"/>
        <w:spacing w:after="160" w:before="360" w:line="312"/>
      </w:pPr>
      <w:r>
        <w:rPr>
          <w:rFonts w:ascii="Calibri"/>
          <w:b/>
          <w:bCs/>
          <w:color w:val="0A1628"/>
          <w:sz w:val="32"/>
          <w:szCs w:val="32"/>
        </w:rPr>
        <w:t xml:space="preserve">2. Problem Statement</w:t>
      </w:r>
    </w:p>
    <w:p>
      <w:pPr>
        <w:spacing w:after="80" w:line="312"/>
        <w:jc w:val="both"/>
      </w:pPr>
      <w:r>
        <w:rPr>
          <w:rFonts w:ascii="Calibri"/>
          <w:color w:val="000000"/>
          <w:sz w:val="24"/>
          <w:szCs w:val="24"/>
        </w:rPr>
        <w:t xml:space="preserve">SIM swap fraud has emerged as one of the most damaging attack vectors targeting digital financial services across the MENA region. In this attack, a fraudster persuades a telecom operator to transfer a victim's phone number to a new SIM card under their control. Once the SIM swap is complete, the attacker gains access to the victim's SMS-based one-time passwords (OTPs), enabling account takeover, unauthorized transactions, and identity theft. The attack is particularly devastating because it bypasses traditional security layers entirely: the fraudster is not breaking encryption or guessing passwords; they are hijacking the trusted communication channel itself.</w:t>
      </w:r>
    </w:p>
    <w:p>
      <w:pPr>
        <w:spacing w:after="80" w:line="312"/>
        <w:jc w:val="both"/>
      </w:pPr>
      <w:r>
        <w:rPr>
          <w:rFonts w:ascii="Calibri"/>
          <w:color w:val="000000"/>
          <w:sz w:val="24"/>
          <w:szCs w:val="24"/>
        </w:rPr>
        <w:t xml:space="preserve">The scale of the problem in MENA is alarming. According to IDEMIA's 2026 research, scam attempts in the UAE increased by 43% year-over-year, with OTP-related fraud causing $6.7 billion in losses globally. BioCatch reports that 62% of UAE banking leaders surveyed estimate their organizations' annual fraud losses exceed $5 million USD (18.3 million AED). Meanwhile, the MENA digital payments market reached $248.35 billion in 2025 (Mordor Intelligence), and the UAE's cross-border remittance market alone is worth $39 billion (Ken Research), growing at a 4.85% CAGR toward $50 billion by 2031. Dubai has already achieved 88% non-cash retail transactions, and Saudi Arabia reached 79% non-cash transactions by early 2025, meaning the digital attack surface is enormous and expanding rapidly.</w:t>
      </w:r>
    </w:p>
    <w:p>
      <w:pPr>
        <w:spacing w:after="80" w:line="312"/>
        <w:jc w:val="both"/>
      </w:pPr>
      <w:r>
        <w:rPr>
          <w:rFonts w:ascii="Calibri"/>
          <w:color w:val="000000"/>
          <w:sz w:val="24"/>
          <w:szCs w:val="24"/>
        </w:rPr>
        <w:t xml:space="preserve">The fundamental problem is that current fraud detection systems operate at the application and behavioral layers. They analyze transaction patterns, device fingerprints, and user behavior, but they are entirely blind to the telecom network layer where SIM swap attacks occur. A bank's fraud engine cannot see that a customer's SIM card was replaced two hours before a $5,000 remittance transfer. By the time behavioral anomalies surface, the money is already gone. There is a critical gap between telecom network intelligence and financial fraud prevention systems, and no standardized, interoperable bridge exists to close it.</w:t>
      </w:r>
    </w:p>
    <w:p>
      <w:pPr>
        <w:pStyle w:val="Heading1"/>
        <w:spacing w:after="160" w:before="360" w:line="312"/>
      </w:pPr>
      <w:r>
        <w:rPr>
          <w:rFonts w:ascii="Calibri"/>
          <w:b/>
          <w:bCs/>
          <w:color w:val="0A1628"/>
          <w:sz w:val="32"/>
          <w:szCs w:val="32"/>
        </w:rPr>
        <w:t xml:space="preserve">3. Proposed Solution</w:t>
      </w:r>
    </w:p>
    <w:p>
      <w:pPr>
        <w:spacing w:after="80" w:line="312"/>
        <w:jc w:val="both"/>
      </w:pPr>
      <w:r>
        <w:rPr>
          <w:rFonts w:ascii="Calibri"/>
          <w:b/>
          <w:bCs/>
          <w:color w:val="000000"/>
          <w:sz w:val="24"/>
          <w:szCs w:val="24"/>
        </w:rPr>
        <w:t xml:space="preserve">Concept: </w:t>
      </w:r>
      <w:r>
        <w:rPr>
          <w:rFonts w:ascii="Calibri"/>
          <w:color w:val="000000"/>
          <w:sz w:val="24"/>
          <w:szCs w:val="24"/>
        </w:rPr>
        <w:t xml:space="preserve">TrustMesh is an AI agent that autonomously orchestrates GSMA Open Gateway CAMARA APIs to transform invisible telecom network signals into real-time, actionable fraud intelligence. Rather than treating network APIs as simple user-triggered verification checks, TrustMesh's AI agent decides which signals to query, interprets the combined results, and selects the appropriate response, whether that is allowing the transaction silently, requesting step-up verification via email OTP, triggering biometric re-authentication, or blocking the transaction entirely.</w:t>
      </w:r>
    </w:p>
    <w:p>
      <w:pPr>
        <w:spacing w:after="80" w:line="312"/>
        <w:jc w:val="both"/>
      </w:pPr>
      <w:r>
        <w:rPr>
          <w:rFonts w:ascii="Calibri"/>
          <w:b/>
          <w:bCs/>
          <w:color w:val="000000"/>
          <w:sz w:val="24"/>
          <w:szCs w:val="24"/>
        </w:rPr>
        <w:t xml:space="preserve">How it differs: </w:t>
      </w:r>
      <w:r>
        <w:rPr>
          <w:rFonts w:ascii="Calibri"/>
          <w:color w:val="000000"/>
          <w:sz w:val="24"/>
          <w:szCs w:val="24"/>
        </w:rPr>
        <w:t xml:space="preserve">Traditional fraud systems use hardcoded rules: if SIM swapped in 24 hours, block. TrustMesh's LLM-powered agent performs contextual reasoning. For example, it might determine that a SIM swap 6 hours ago combined with a device change from iPhone to Android warrants a high-risk score and an email OTP step-up, while a SIM swap 30 days ago on the same device during a small grocery purchase merits no action. The agent's decisions are nuanced, explainable, and context-aware, producing both a quantitative risk score (0-100) and a natural-language explanation that a fraud operations analyst can review and act on immediately.</w:t>
      </w:r>
    </w:p>
    <w:p>
      <w:pPr>
        <w:spacing w:after="80" w:line="312"/>
        <w:jc w:val="both"/>
      </w:pPr>
      <w:r>
        <w:rPr>
          <w:rFonts w:ascii="Calibri"/>
          <w:b/>
          <w:bCs/>
          <w:color w:val="000000"/>
          <w:sz w:val="24"/>
          <w:szCs w:val="24"/>
        </w:rPr>
        <w:t xml:space="preserve">Target scenario: </w:t>
      </w:r>
      <w:r>
        <w:rPr>
          <w:rFonts w:ascii="Calibri"/>
          <w:color w:val="000000"/>
          <w:sz w:val="24"/>
          <w:szCs w:val="24"/>
        </w:rPr>
        <w:t xml:space="preserve">TrustMesh is designed for UAE-based neobanks and digital remittance platforms serving cross-border payment customers. In Gulf remittance corridors, SIM swap fraud is the number one reported attack vector. Workers sending money home to families in South Asia, Southeast Asia, and North Africa are prime targets because remittance transactions are high-value, time-sensitive, and frequently authenticated via SMS OTP. TrustMesh protects these users by adding a network-intelligence layer that existing fraud engines cannot provide.</w:t>
      </w:r>
    </w:p>
    <w:p>
      <w:pPr>
        <w:pStyle w:val="Heading1"/>
        <w:spacing w:after="160" w:before="360" w:line="312"/>
      </w:pPr>
      <w:r>
        <w:rPr>
          <w:rFonts w:ascii="Calibri"/>
          <w:b/>
          <w:bCs/>
          <w:color w:val="0A1628"/>
          <w:sz w:val="32"/>
          <w:szCs w:val="32"/>
        </w:rPr>
        <w:t xml:space="preserve">4. CAMARA APIs Used</w:t>
      </w:r>
    </w:p>
    <w:p>
      <w:pPr>
        <w:spacing w:after="80" w:line="312"/>
        <w:jc w:val="both"/>
      </w:pPr>
      <w:r>
        <w:rPr>
          <w:rFonts w:ascii="Calibri"/>
          <w:color w:val="000000"/>
          <w:sz w:val="24"/>
          <w:szCs w:val="24"/>
        </w:rPr>
        <w:t xml:space="preserve">TrustMesh utilizes three CAMARA APIs available on the Nokia Network-as-Code (NaC) platform, all accessed through the NaC developer portal (networkascode.nokia.io) using simulator numbers for development and demonstration:</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API</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Purpose in TrustMesh</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Signal Provided</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SIM Swap</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Detects if the user's SIM card has been recently replaced, indicating potential account takeover</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Last SIM swap timestamp, recent swap status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Number Verification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Confirms that the phone number making the transaction matches the registered subscriber identity</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Phone number match/mismatch status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Device Status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Checks whether the device is connected, roaming, or has changed recently</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Connection status, device change history</w:t>
            </w:r>
          </w:p>
        </w:tc>
      </w:tr>
    </w:tbl>
    <w:p>
      <w:pPr>
        <w:spacing w:after="200"/>
      </w:pPr>
    </w:p>
    <w:p>
      <w:pPr>
        <w:spacing w:after="80" w:line="312"/>
        <w:jc w:val="both"/>
      </w:pPr>
      <w:r>
        <w:rPr>
          <w:rFonts w:ascii="Calibri"/>
          <w:color w:val="000000"/>
          <w:sz w:val="24"/>
          <w:szCs w:val="24"/>
        </w:rPr>
        <w:t xml:space="preserve">These three APIs are exposed to the AI agent as callable tools. The agent autonomously decides which combination of signals to query based on the transaction context, and it may call all three, or only one or two, depending on what it deems necessary for a confident risk assessment.</w:t>
      </w:r>
    </w:p>
    <w:p>
      <w:pPr>
        <w:pStyle w:val="Heading1"/>
        <w:spacing w:after="160" w:before="360" w:line="312"/>
      </w:pPr>
      <w:r>
        <w:rPr>
          <w:rFonts w:ascii="Calibri"/>
          <w:b/>
          <w:bCs/>
          <w:color w:val="0A1628"/>
          <w:sz w:val="32"/>
          <w:szCs w:val="32"/>
        </w:rPr>
        <w:t xml:space="preserve">5. AI Agent Layer Design</w:t>
      </w:r>
    </w:p>
    <w:p>
      <w:pPr>
        <w:pStyle w:val="Heading2"/>
        <w:spacing w:after="120" w:before="240" w:line="312"/>
      </w:pPr>
      <w:r>
        <w:rPr>
          <w:rFonts w:ascii="Calibri"/>
          <w:b/>
          <w:bCs/>
          <w:color w:val="0A1628"/>
          <w:sz w:val="28"/>
          <w:szCs w:val="28"/>
        </w:rPr>
        <w:t xml:space="preserve">5.1 Architecture</w:t>
      </w:r>
    </w:p>
    <w:p>
      <w:pPr>
        <w:spacing w:after="80" w:line="312"/>
        <w:jc w:val="both"/>
      </w:pPr>
      <w:r>
        <w:rPr>
          <w:rFonts w:ascii="Calibri"/>
          <w:color w:val="000000"/>
          <w:sz w:val="24"/>
          <w:szCs w:val="24"/>
        </w:rPr>
        <w:t xml:space="preserve">The AI agent is built using n8n's native AI Agent node, which is listed on the hackathon's approved Resource and Tooling Guide. n8n (community edition, self-hostable) provides a visual workflow builder with built-in AI agent orchestration capabilities, including tool calling, memory, and reasoning loops. The agent is wired to Groq's Llama 3.3 70B model (free tier) for fast inference, with Google Gemini Flash as an alternative. The choice of n8n ensures that all AI agent tooling complies with the hackathon's mandatory requirement to use only approved tools.</w:t>
      </w:r>
    </w:p>
    <w:p>
      <w:pPr>
        <w:pStyle w:val="Heading2"/>
        <w:spacing w:after="120" w:before="240" w:line="312"/>
      </w:pPr>
      <w:r>
        <w:rPr>
          <w:rFonts w:ascii="Calibri"/>
          <w:b/>
          <w:bCs/>
          <w:color w:val="0A1628"/>
          <w:sz w:val="28"/>
          <w:szCs w:val="28"/>
        </w:rPr>
        <w:t xml:space="preserve">5.2 Tool Definitions</w:t>
      </w:r>
    </w:p>
    <w:p>
      <w:pPr>
        <w:spacing w:after="80" w:line="312"/>
        <w:jc w:val="both"/>
      </w:pPr>
      <w:r>
        <w:rPr>
          <w:rFonts w:ascii="Calibri"/>
          <w:color w:val="000000"/>
          <w:sz w:val="24"/>
          <w:szCs w:val="24"/>
        </w:rPr>
        <w:t xml:space="preserve">Each CAMARA API is registered as a tool that the AI agent can call. The tool definitions include the API endpoint, required parameters (phone number, device ID), and a description that helps the LLM understand when and why to invoke each tool. The agent receives a transaction event (simulated via webhook for the demo) containing the user's phone number, transaction amount, transaction type, and device fingerprint. Based on this context, the agent reasons about which network signals would be most informative and calls the appropriate tools.</w:t>
      </w:r>
    </w:p>
    <w:p>
      <w:pPr>
        <w:pStyle w:val="Heading2"/>
        <w:spacing w:after="120" w:before="240" w:line="312"/>
      </w:pPr>
      <w:r>
        <w:rPr>
          <w:rFonts w:ascii="Calibri"/>
          <w:b/>
          <w:bCs/>
          <w:color w:val="0A1628"/>
          <w:sz w:val="28"/>
          <w:szCs w:val="28"/>
        </w:rPr>
        <w:t xml:space="preserve">5.3 Decision Logic</w:t>
      </w:r>
    </w:p>
    <w:p>
      <w:pPr>
        <w:spacing w:after="80" w:line="312"/>
        <w:jc w:val="both"/>
      </w:pPr>
      <w:r>
        <w:rPr>
          <w:rFonts w:ascii="Calibri"/>
          <w:color w:val="000000"/>
          <w:sz w:val="24"/>
          <w:szCs w:val="24"/>
        </w:rPr>
        <w:t xml:space="preserve">The agent synthesizes the returned signals into a structured risk decision containing three components: a risk score from 0 to 100, a recommended action (allow, email OTP step-up, biometric re-auth, or block), and a natural-language explanation written in plain English that a fraud operations analyst can review. For example, the agent might output: 'Risk Score: 87/100. SIM was swapped 2 hours ago and the current device differs from the registered device. Recommend email OTP step-up verification before allowing this $5,000 remittance transaction.' This level of explainability is critical for regulatory compliance and operational trust.</w:t>
      </w:r>
    </w:p>
    <w:p>
      <w:pPr>
        <w:pStyle w:val="Heading1"/>
        <w:spacing w:after="160" w:before="360" w:line="312"/>
      </w:pPr>
      <w:r>
        <w:rPr>
          <w:rFonts w:ascii="Calibri"/>
          <w:b/>
          <w:bCs/>
          <w:color w:val="0A1628"/>
          <w:sz w:val="32"/>
          <w:szCs w:val="32"/>
        </w:rPr>
        <w:t xml:space="preserve">6. Theme Alignment</w:t>
      </w:r>
    </w:p>
    <w:p>
      <w:pPr>
        <w:spacing w:after="80" w:line="312"/>
        <w:jc w:val="both"/>
      </w:pPr>
      <w:r>
        <w:rPr>
          <w:rFonts w:ascii="Calibri"/>
          <w:color w:val="000000"/>
          <w:sz w:val="24"/>
          <w:szCs w:val="24"/>
        </w:rPr>
        <w:t xml:space="preserve">TrustMesh directly addresses Theme 4: Secure Fintech, Payments &amp; Anti-Fraud Innovation. The hackathon problem statement calls for solutions that 'leverage GSMA Open Gateway CAMARA APIs and 5G connectivity to solve real-world business and everyday challenges across the MENA region.' TrustMesh does this by using SIM Swap, Number Verification, and Device Status APIs to build an intelligent fraud defense layer specifically designed for the fintech and payments ecosystem in the MENA region.</w:t>
      </w:r>
    </w:p>
    <w:p>
      <w:pPr>
        <w:spacing w:after="80" w:line="312"/>
        <w:jc w:val="both"/>
      </w:pPr>
      <w:r>
        <w:rPr>
          <w:rFonts w:ascii="Calibri"/>
          <w:color w:val="000000"/>
          <w:sz w:val="24"/>
          <w:szCs w:val="24"/>
        </w:rPr>
        <w:t xml:space="preserve">The solution is also relevant to Theme 1 (Trusted Digital Identity &amp; Cross-Border Verification), as the same CAMARA APIs serve as identity verification signals. However, we have chosen Theme 4 as the primary alignment because the fraud prevention use case is the most compelling and commercially viable application of these APIs in the current MENA market context. The cross-border remittance scenario grounds the solution in a specific, high-impact regional pain point that judges will immediately recognize as authentic and urgent.</w:t>
      </w:r>
    </w:p>
    <w:p>
      <w:pPr>
        <w:pStyle w:val="Heading1"/>
        <w:spacing w:after="160" w:before="360" w:line="312"/>
      </w:pPr>
      <w:r>
        <w:rPr>
          <w:rFonts w:ascii="Calibri"/>
          <w:b/>
          <w:bCs/>
          <w:color w:val="0A1628"/>
          <w:sz w:val="32"/>
          <w:szCs w:val="32"/>
        </w:rPr>
        <w:t xml:space="preserve">7. Impact &amp; Scalability</w:t>
      </w:r>
    </w:p>
    <w:p>
      <w:pPr>
        <w:pStyle w:val="Heading2"/>
        <w:spacing w:after="120" w:before="240" w:line="312"/>
      </w:pPr>
      <w:r>
        <w:rPr>
          <w:rFonts w:ascii="Calibri"/>
          <w:b/>
          <w:bCs/>
          <w:color w:val="0A1628"/>
          <w:sz w:val="28"/>
          <w:szCs w:val="28"/>
        </w:rPr>
        <w:t xml:space="preserve">7.1 Regional Impact</w:t>
      </w:r>
    </w:p>
    <w:p>
      <w:pPr>
        <w:spacing w:after="80" w:line="312"/>
        <w:jc w:val="both"/>
      </w:pPr>
      <w:r>
        <w:rPr>
          <w:rFonts w:ascii="Calibri"/>
          <w:color w:val="000000"/>
          <w:sz w:val="24"/>
          <w:szCs w:val="24"/>
        </w:rPr>
        <w:t xml:space="preserve">TrustMesh addresses a fraud problem that costs MENA financial institutions hundreds of millions of dollars annually. The UAE alone processes $39 billion in cross-border remittances, and SIM swap fraud is the leading attack vector in this space. By providing real-time network intelligence, TrustMesh can reduce fraud losses by an estimated 60-80% for SIM-swap-related attacks, based on the premise that network-layer detection catches attacks before they complete rather than after the fact.</w:t>
      </w:r>
    </w:p>
    <w:p>
      <w:pPr>
        <w:pStyle w:val="Heading2"/>
        <w:spacing w:after="120" w:before="240" w:line="312"/>
      </w:pPr>
      <w:r>
        <w:rPr>
          <w:rFonts w:ascii="Calibri"/>
          <w:b/>
          <w:bCs/>
          <w:color w:val="0A1628"/>
          <w:sz w:val="28"/>
          <w:szCs w:val="28"/>
        </w:rPr>
        <w:t xml:space="preserve">7.2 Business Model</w:t>
      </w:r>
    </w:p>
    <w:p>
      <w:pPr>
        <w:spacing w:after="80" w:line="312"/>
        <w:jc w:val="both"/>
      </w:pPr>
      <w:r>
        <w:rPr>
          <w:rFonts w:ascii="Calibri"/>
          <w:color w:val="000000"/>
          <w:sz w:val="24"/>
          <w:szCs w:val="24"/>
        </w:rPr>
        <w:t xml:space="preserve">TrustMesh operates on a per-transaction API orchestration fee model, charging a fraction of a cent per risk assessment. A premium tier offers advanced step-up orchestration intelligence, including contextual reasoning and multi-signal synthesis. Target customers include UAE and Saudi neobanks, digital remittance platforms (serving corridors to South Asia, Southeast Asia, and North Africa), and cross-border payment processors. The total addressable market aligns with the $4.5 billion MENA fintech revenue projected by McKinsey for 2025.</w:t>
      </w:r>
    </w:p>
    <w:p>
      <w:pPr>
        <w:pStyle w:val="Heading2"/>
        <w:spacing w:after="120" w:before="240" w:line="312"/>
      </w:pPr>
      <w:r>
        <w:rPr>
          <w:rFonts w:ascii="Calibri"/>
          <w:b/>
          <w:bCs/>
          <w:color w:val="0A1628"/>
          <w:sz w:val="28"/>
          <w:szCs w:val="28"/>
        </w:rPr>
        <w:t xml:space="preserve">7.3 Scalability</w:t>
      </w:r>
    </w:p>
    <w:p>
      <w:pPr>
        <w:spacing w:after="80" w:line="312"/>
        <w:jc w:val="both"/>
      </w:pPr>
      <w:r>
        <w:rPr>
          <w:rFonts w:ascii="Calibri"/>
          <w:color w:val="000000"/>
          <w:sz w:val="24"/>
          <w:szCs w:val="24"/>
        </w:rPr>
        <w:t xml:space="preserve">The n8n-based architecture is inherently scalable. n8n supports horizontal scaling via queue-mode execution, and the CAMARA APIs are designed as standardized, operator-agnostic interfaces. Once integrated with one Mobile Network Operator (MNO) via Nokia NaC, TrustMesh can extend to additional MNOs across the MENA region without modifying the core agent logic. The solution is optimized for 5G-capable devices and can leverage additional CAMARA APIs (Location Verification, Geofencing, QoS on Demand) as future enhancements.</w:t>
      </w:r>
    </w:p>
    <w:p>
      <w:pPr>
        <w:pStyle w:val="Heading1"/>
        <w:spacing w:after="160" w:before="360" w:line="312"/>
      </w:pPr>
      <w:r>
        <w:rPr>
          <w:rFonts w:ascii="Calibri"/>
          <w:b/>
          <w:bCs/>
          <w:color w:val="0A1628"/>
          <w:sz w:val="32"/>
          <w:szCs w:val="32"/>
        </w:rPr>
        <w:t xml:space="preserve">8. Technical Approach Summary</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Component</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Technology</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Purpose</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Orchestration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n8n (Community Edition, self-hosted)</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Visual workflow builder with native AI Agent nodes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AI Model</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Groq Llama 3.3 70B (free tier)</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Fast LLM inference for real-time agent reasoning</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Network APIs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CAMARA via Nokia NaC (simulator)</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SIM Swap, Number Verification, Device Status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Integration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Webhook trigger + REST API output</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Drops into existing fintech transaction pipeline</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Fallback</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Canned CAMARA responses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Demo resilience if live API is rate-limited</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Hosting</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Self-hosted (Docker/VM)</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Zero external dependencies beyond approved tools</w:t>
            </w:r>
          </w:p>
        </w:tc>
      </w:tr>
    </w:tbl>
    <w:p>
      <w:pPr>
        <w:spacing w:after="200"/>
      </w:pPr>
    </w:p>
    <w:p>
      <w:pPr>
        <w:pStyle w:val="Heading1"/>
        <w:spacing w:after="160" w:before="360" w:line="312"/>
      </w:pPr>
      <w:r>
        <w:rPr>
          <w:rFonts w:ascii="Calibri"/>
          <w:b/>
          <w:bCs/>
          <w:color w:val="0A1628"/>
          <w:sz w:val="32"/>
          <w:szCs w:val="32"/>
        </w:rPr>
        <w:t xml:space="preserve">9. Demo Plan</w:t>
      </w:r>
    </w:p>
    <w:p>
      <w:pPr>
        <w:spacing w:after="80" w:line="312"/>
        <w:jc w:val="both"/>
      </w:pPr>
      <w:r>
        <w:rPr>
          <w:rFonts w:ascii="Calibri"/>
          <w:color w:val="000000"/>
          <w:sz w:val="24"/>
          <w:szCs w:val="24"/>
        </w:rPr>
        <w:t xml:space="preserve">For the Phase 2 Live Demo round, TrustMesh will demonstrate a real-time fraud detection scenario using the n8n workflow. The demo will simulate a cross-border remittance transaction from a UAE-based neobank customer sending $5,000 to a family member in the Philippines. The demo will include three scenarios: a clean transaction (low risk, silent allow), a SIM-swapped transaction (high risk, email OTP step-up triggered), and a device-mismatch transaction (medium risk, biometric re-auth recommended). The agent's reasoning, API calls, and risk decisions will be visible on the n8n canvas in real time, allowing judges to see the agentic orchestration in action.</w:t>
      </w:r>
    </w:p>
    <w:p>
      <w:pPr>
        <w:spacing w:after="80" w:line="312"/>
        <w:jc w:val="both"/>
      </w:pPr>
      <w:r>
        <w:rPr>
          <w:rFonts w:ascii="Calibri"/>
          <w:color w:val="000000"/>
          <w:sz w:val="24"/>
          <w:szCs w:val="24"/>
        </w:rPr>
        <w:t xml:space="preserve">A fallback mechanism with cached CAMARA API responses ensures the demo survives any rate-limiting or connectivity issues during the live presentation. The n8n visual workflow itself serves as a compelling architectural artifact that judges can understand without reading documentation.</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TrustMesh | Idea Capture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b/>
      <w:bCs/>
      <w:color w:val="0A1628"/>
      <w:sz w:val="32"/>
      <w:szCs w:val="32"/>
    </w:rPr>
  </w:style>
  <w:style w:type="paragraph" w:styleId="Heading2">
    <w:name w:val="Heading 2"/>
    <w:basedOn w:val="Normal"/>
    <w:next w:val="Normal"/>
    <w:qFormat/>
    <w:pPr>
      <w:spacing w:after="120" w:before="240" w:line="312"/>
    </w:pPr>
    <w:rPr>
      <w:rFonts w:ascii="Calibri"/>
      <w:b/>
      <w:bCs/>
      <w:color w:val="0A16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2026-07-15T11:32:57.305Z</dcterms:created>
  <dcterms:modified xsi:type="dcterms:W3CDTF">2026-07-15T11:32:57.305Z</dcterms:modified>
</cp:coreProperties>
</file>

<file path=docProps/custom.xml><?xml version="1.0" encoding="utf-8"?>
<Properties xmlns="http://schemas.openxmlformats.org/officeDocument/2006/custom-properties" xmlns:vt="http://schemas.openxmlformats.org/officeDocument/2006/docPropsVTypes"/>
</file>