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62235" w:val="clear"/>
            <w:vAlign w:val="top"/>
          </w:tcPr>
          <w:p>
            <w:pPr>
              <w:pBdr>
                <w:bottom w:val="single" w:color="37DCF2" w:sz="6" w:space="16"/>
              </w:pBdr>
              <w:spacing w:before="4800"/>
            </w:pPr>
          </w:p>
          <w:p>
            <w:pPr>
              <w:spacing w:after="200" w:before="400" w:line="828" w:lineRule="atLeast"/>
            </w:pPr>
            <w:r>
              <w:rPr>
                <w:rFonts w:ascii="Calibri"/>
                <w:b/>
                <w:bCs/>
                <w:color w:val="FFFFFF"/>
                <w:sz w:val="72"/>
                <w:szCs w:val="72"/>
              </w:rPr>
              <w:t xml:space="preserve">TrustMesh</w:t>
            </w:r>
          </w:p>
          <w:p>
            <w:pPr>
              <w:spacing w:after="200" w:line="414" w:lineRule="atLeast"/>
            </w:pPr>
            <w:r>
              <w:rPr>
                <w:rFonts w:ascii="Calibri"/>
                <w:color w:val="B0B8C0"/>
                <w:sz w:val="36"/>
                <w:szCs w:val="36"/>
              </w:rPr>
              <w:t xml:space="preserve">Technical Architecture Document</w:t>
            </w:r>
          </w:p>
          <w:p>
            <w:pPr>
              <w:spacing w:after="100"/>
            </w:pPr>
            <w:r>
              <w:rPr>
                <w:rFonts w:ascii="Calibri"/>
                <w:color w:val="90989F"/>
                <w:sz w:val="24"/>
                <w:szCs w:val="24"/>
              </w:rPr>
              <w:t xml:space="preserve">AI-Agent Orchestration of CAMARA Network APIs</w:t>
            </w:r>
          </w:p>
          <w:p>
            <w:pPr>
              <w:spacing w:after="100"/>
            </w:pPr>
            <w:r>
              <w:rPr>
                <w:rFonts w:ascii="Calibri"/>
                <w:color w:val="90989F"/>
                <w:sz w:val="24"/>
                <w:szCs w:val="24"/>
              </w:rPr>
              <w:t xml:space="preserve">for Real-Time Fraud Defense</w:t>
            </w:r>
          </w:p>
          <w:p>
            <w:pPr>
              <w:spacing w:before="2000"/>
            </w:pPr>
          </w:p>
          <w:p>
            <w:r>
              <w:rPr>
                <w:rFonts w:ascii="Calibri"/>
                <w:color w:val="687078"/>
                <w:sz w:val="20"/>
                <w:szCs w:val="20"/>
              </w:rPr>
              <w:t xml:space="preserve">GSMA MENA Ignite Hackathon 2026</w:t>
            </w:r>
          </w:p>
          <w:p>
            <w:r>
              <w:rPr>
                <w:rFonts w:ascii="Calibri"/>
                <w:color w:val="687078"/>
                <w:sz w:val="20"/>
                <w:szCs w:val="20"/>
              </w:rPr>
              <w:t xml:space="preserve">Version 1.0 | July 2026</w:t>
            </w:r>
          </w:p>
        </w:tc>
      </w:tr>
    </w:tbl>
    <w:p>
      <w:pPr>
        <w:sectPr>
          <w:pgSz w:w="11906" w:h="16838" w:orient="portrait"/>
          <w:pgMar w:top="0" w:right="0" w:bottom="0" w:left="0" w:header="708" w:footer="708" w:gutter="0"/>
          <w:pgNumType/>
          <w:docGrid w:linePitch="360"/>
        </w:sectPr>
      </w:pPr>
    </w:p>
    <w:p>
      <w:pPr>
        <w:spacing w:after="200"/>
      </w:pPr>
      <w:r>
        <w:rPr>
          <w:rFonts w:ascii="Calibri"/>
          <w:b/>
          <w:bCs/>
          <w:color w:val="0A1628"/>
          <w:sz w:val="32"/>
          <w:szCs w:val="32"/>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System Overview</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High-Level Architecture</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Architecture Layers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Technology Stack</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3. n8n Workflow Design</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3.1 Workflow Structure</w:t>
            </w:r>
            <w:r>
              <w:tab/>
            </w:r>
            <w:r>
              <w:fldChar w:fldCharType="begin"/>
            </w:r>
            <w:r>
              <w:instrText xml:space="preserve"> PAGEREF _Toc100005 \h </w:instrText>
            </w:r>
            <w:r>
              <w:fldChar w:fldCharType="separate"/>
            </w:r>
            <w:r>
              <w:t>2</w:t>
            </w:r>
            <w:r>
              <w:fldChar w:fldCharType="end"/>
            </w:r>
          </w:hyperlink>
        </w:p>
        <w:p>
          <w:pPr>
            <w:pStyle w:val="11"/>
            <w:ind w:left="360"/>
            <w:tabs>
              <w:tab w:val="right" w:leader="dot" w:pos="9026"/>
            </w:tabs>
            <w:spacing w:before="120" w:after="60"/>
          </w:pPr>
          <w:hyperlink w:anchor="_Toc100006" w:history="1">
            <w:r>
              <w:rPr>
                <w:rStyle w:val="Hyperlink"/>
              </w:rPr>
              <w:t>3.2 Agent Tool Registration</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4. CAMARA API Integration Details</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4.1 SIM Swap API</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4.2 Number Verification API</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4.3 Device Status API</w:t>
            </w:r>
            <w:r>
              <w:tab/>
            </w:r>
            <w:r>
              <w:fldChar w:fldCharType="begin"/>
            </w:r>
            <w:r>
              <w:instrText xml:space="preserve"> PAGEREF _Toc100010 \h </w:instrText>
            </w:r>
            <w:r>
              <w:fldChar w:fldCharType="separate"/>
            </w:r>
            <w:r>
              <w:t>5</w:t>
            </w:r>
            <w:r>
              <w:fldChar w:fldCharType="end"/>
            </w:r>
          </w:hyperlink>
        </w:p>
        <w:p>
          <w:pPr>
            <w:pStyle w:val="9"/>
            <w:tabs>
              <w:tab w:val="right" w:leader="dot" w:pos="9026"/>
            </w:tabs>
            <w:spacing w:before="120" w:after="60"/>
          </w:pPr>
          <w:hyperlink w:anchor="_Toc100011" w:history="1">
            <w:r>
              <w:rPr>
                <w:rStyle w:val="Hyperlink"/>
              </w:rPr>
              <w:t>5. AI Agent Layer Design</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5.1 Model Selection</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5.2 System Prompt Design</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5.3 Risk Scoring Framework</w:t>
            </w:r>
            <w:r>
              <w:tab/>
            </w:r>
            <w:r>
              <w:fldChar w:fldCharType="begin"/>
            </w:r>
            <w:r>
              <w:instrText xml:space="preserve"> PAGEREF _Toc100014 \h </w:instrText>
            </w:r>
            <w:r>
              <w:fldChar w:fldCharType="separate"/>
            </w:r>
            <w:r>
              <w:t>6</w:t>
            </w:r>
            <w:r>
              <w:fldChar w:fldCharType="end"/>
            </w:r>
          </w:hyperlink>
        </w:p>
        <w:p>
          <w:pPr>
            <w:pStyle w:val="9"/>
            <w:tabs>
              <w:tab w:val="right" w:leader="dot" w:pos="9026"/>
            </w:tabs>
            <w:spacing w:before="120" w:after="60"/>
          </w:pPr>
          <w:hyperlink w:anchor="_Toc100015" w:history="1">
            <w:r>
              <w:rPr>
                <w:rStyle w:val="Hyperlink"/>
              </w:rPr>
              <w:t>6. Data Flow</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6.1 Event Ingestion</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6.2 Agent Processing</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6.3 Decision Output</w:t>
            </w:r>
            <w:r>
              <w:tab/>
            </w:r>
            <w:r>
              <w:fldChar w:fldCharType="begin"/>
            </w:r>
            <w:r>
              <w:instrText xml:space="preserve"> PAGEREF _Toc100018 \h </w:instrText>
            </w:r>
            <w:r>
              <w:fldChar w:fldCharType="separate"/>
            </w:r>
            <w:r>
              <w:t>7</w:t>
            </w:r>
            <w:r>
              <w:fldChar w:fldCharType="end"/>
            </w:r>
          </w:hyperlink>
        </w:p>
        <w:p>
          <w:pPr>
            <w:pStyle w:val="9"/>
            <w:tabs>
              <w:tab w:val="right" w:leader="dot" w:pos="9026"/>
            </w:tabs>
            <w:spacing w:before="120" w:after="60"/>
          </w:pPr>
          <w:hyperlink w:anchor="_Toc100019" w:history="1">
            <w:r>
              <w:rPr>
                <w:rStyle w:val="Hyperlink"/>
              </w:rPr>
              <w:t>7. Security Considerations</w:t>
            </w:r>
            <w:r>
              <w:tab/>
            </w:r>
            <w:r>
              <w:fldChar w:fldCharType="begin"/>
            </w:r>
            <w:r>
              <w:instrText xml:space="preserve"> PAGEREF _Toc100019 \h </w:instrText>
            </w:r>
            <w:r>
              <w:fldChar w:fldCharType="separate"/>
            </w:r>
            <w:r>
              <w:t>8</w:t>
            </w:r>
            <w:r>
              <w:fldChar w:fldCharType="end"/>
            </w:r>
          </w:hyperlink>
        </w:p>
        <w:p>
          <w:pPr>
            <w:pStyle w:val="9"/>
            <w:tabs>
              <w:tab w:val="right" w:leader="dot" w:pos="9026"/>
            </w:tabs>
            <w:spacing w:before="120" w:after="60"/>
          </w:pPr>
          <w:hyperlink w:anchor="_Toc100020" w:history="1">
            <w:r>
              <w:rPr>
                <w:rStyle w:val="Hyperlink"/>
              </w:rPr>
              <w:t>8. Fallback and Resilience</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8.1 API Fallback Strategy</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8.2 Model Fallback</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8.3 Demo Resilience</w:t>
            </w:r>
            <w:r>
              <w:tab/>
            </w:r>
            <w:r>
              <w:fldChar w:fldCharType="begin"/>
            </w:r>
            <w:r>
              <w:instrText xml:space="preserve"> PAGEREF _Toc100023 \h </w:instrText>
            </w:r>
            <w:r>
              <w:fldChar w:fldCharType="separate"/>
            </w:r>
            <w:r>
              <w:t>9</w:t>
            </w:r>
            <w:r>
              <w:fldChar w:fldCharType="end"/>
            </w:r>
          </w:hyperlink>
        </w:p>
        <w:p>
          <w:pPr>
            <w:pStyle w:val="9"/>
            <w:tabs>
              <w:tab w:val="right" w:leader="dot" w:pos="9026"/>
            </w:tabs>
            <w:spacing w:before="120" w:after="60"/>
          </w:pPr>
          <w:hyperlink w:anchor="_Toc100024" w:history="1">
            <w:r>
              <w:rPr>
                <w:rStyle w:val="Hyperlink"/>
              </w:rPr>
              <w:t>9. Deployment Architecture</w:t>
            </w:r>
            <w:r>
              <w:tab/>
            </w:r>
            <w:r>
              <w:fldChar w:fldCharType="begin"/>
            </w:r>
            <w:r>
              <w:instrText xml:space="preserve"> PAGEREF _Toc100024 \h </w:instrText>
            </w:r>
            <w:r>
              <w:fldChar w:fldCharType="separate"/>
            </w:r>
            <w:r>
              <w:t>9</w:t>
            </w:r>
            <w:r>
              <w:fldChar w:fldCharType="end"/>
            </w:r>
          </w:hyperlink>
        </w:p>
        <w:p>
          <w:pPr>
            <w:pStyle w:val="11"/>
            <w:ind w:left="360"/>
            <w:tabs>
              <w:tab w:val="right" w:leader="dot" w:pos="9026"/>
            </w:tabs>
            <w:spacing w:before="120" w:after="60"/>
          </w:pPr>
          <w:hyperlink w:anchor="_Toc100025" w:history="1">
            <w:r>
              <w:rPr>
                <w:rStyle w:val="Hyperlink"/>
              </w:rPr>
              <w:t>9.1 Phase 2 Demo Environment</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9.2 Production Architecture (Future State)</w:t>
            </w:r>
            <w:r>
              <w:tab/>
            </w:r>
            <w:r>
              <w:fldChar w:fldCharType="begin"/>
            </w:r>
            <w:r>
              <w:instrText xml:space="preserve"> PAGEREF _Toc100026 \h </w:instrText>
            </w:r>
            <w:r>
              <w:fldChar w:fldCharType="separate"/>
            </w:r>
            <w:r>
              <w:t>10</w:t>
            </w:r>
            <w:r>
              <w:fldChar w:fldCharType="end"/>
            </w:r>
          </w:hyperlink>
        </w:p>
        <w:p>
          <w:pPr>
            <w:pStyle w:val="11"/>
            <w:ind w:left="360"/>
            <w:tabs>
              <w:tab w:val="right" w:leader="dot" w:pos="9026"/>
            </w:tabs>
            <w:spacing w:before="120" w:after="60"/>
          </w:pPr>
          <w:hyperlink w:anchor="_Toc100027" w:history="1">
            <w:r>
              <w:rPr>
                <w:rStyle w:val="Hyperlink"/>
              </w:rPr>
              <w:t>9.3 MNO Integration Path</w:t>
            </w:r>
            <w:r>
              <w:tab/>
            </w:r>
            <w:r>
              <w:fldChar w:fldCharType="begin"/>
            </w:r>
            <w:r>
              <w:instrText xml:space="preserve"> PAGEREF _Toc100027 \h </w:instrText>
            </w:r>
            <w:r>
              <w:fldChar w:fldCharType="separate"/>
            </w:r>
            <w:r>
              <w:t>10</w:t>
            </w:r>
            <w:r>
              <w:fldChar w:fldCharType="end"/>
            </w:r>
          </w:hyperlink>
        </w:p>
        <w:p>
          <w:r>
            <w:fldChar w:fldCharType="end"/>
          </w:r>
        </w:p>
      </w:sdtContent>
    </w:sdt>
    <w:p>
      <w:pPr>
        <w:spacing w:before="200"/>
      </w:pPr>
      <w:r>
        <w:rPr>
          <w:rFonts w:ascii="Calibri"/>
          <w:i/>
          <w:iCs/>
          <w:color w:val="808080"/>
          <w:sz w:val="21"/>
          <w:szCs w:val="21"/>
        </w:rPr>
        <w:t xml:space="preserve">Right-click the Table of Contents and select 'Update Field' to refresh page numbers.</w:t>
      </w:r>
    </w:p>
    <w:p>
      <w:r>
        <w:br w:type="page"/>
      </w:r>
    </w:p>
    <w:p>
      <w:pPr>
        <w:sectPr>
          <w:pgSz w:w="11906" w:h="16838" w:orient="portrait"/>
          <w:pgMar w:top="1440" w:right="1417" w:bottom="1440" w:left="1701" w:header="708" w:footer="708" w:gutter="0"/>
          <w:pgNumType/>
          <w:docGrid w:linePitch="360"/>
        </w:sectPr>
      </w:pPr>
    </w:p>
    <w:p>
      <w:pPr>
        <w:pStyle w:val="Heading1"/>
        <w:spacing w:after="160" w:before="360" w:line="312"/>
      </w:pPr>
      <w:bookmarkStart w:id="100000" w:name="_Toc100000"/>
      <w:r>
        <w:rPr>
          <w:rFonts w:ascii="Calibri"/>
          <w:b/>
          <w:bCs/>
          <w:color w:val="0A1628"/>
          <w:sz w:val="32"/>
          <w:szCs w:val="32"/>
        </w:rPr>
        <w:t xml:space="preserve">1. System Overview</w:t>
      </w:r>
      <w:bookmarkEnd w:id="100000"/>
    </w:p>
    <w:p>
      <w:pPr>
        <w:spacing w:after="80" w:line="312"/>
        <w:jc w:val="both"/>
      </w:pPr>
      <w:r>
        <w:rPr>
          <w:rFonts w:ascii="Calibri"/>
          <w:color w:val="000000"/>
          <w:sz w:val="24"/>
          <w:szCs w:val="24"/>
        </w:rPr>
        <w:t xml:space="preserve">TrustMesh is a real-time fraud detection and response orchestration system that uses an AI agent to autonomously query telecom network signals via GSMA Open Gateway CAMARA APIs. The system is designed as a webhook-triggered microservice that integrates into existing fintech transaction pipelines, providing network-layer fraud intelligence that traditional application-layer systems cannot deliver.</w:t>
      </w:r>
    </w:p>
    <w:p>
      <w:pPr>
        <w:spacing w:after="80" w:line="312"/>
        <w:jc w:val="both"/>
      </w:pPr>
      <w:r>
        <w:rPr>
          <w:rFonts w:ascii="Calibri"/>
          <w:color w:val="000000"/>
          <w:sz w:val="24"/>
          <w:szCs w:val="24"/>
        </w:rPr>
        <w:t xml:space="preserve">At its core, TrustMesh addresses a fundamental blind spot in current fraud prevention: the inability of financial institutions to access real-time telecom network intelligence. When a SIM swap occurs, the fraudster gains control of the victim's phone number and can intercept SMS-based OTPs, bypassing two-factor authentication entirely. TrustMesh closes this gap by querying the SIM Swap, Number Verification, and Device Status CAMARA APIs through the Nokia Network-as-Code platform, then using an LLM-powered agent to reason over the combined signals and produce a nuanced, context-aware risk decision.</w:t>
      </w:r>
    </w:p>
    <w:p>
      <w:pPr>
        <w:spacing w:after="80" w:line="312"/>
        <w:jc w:val="both"/>
      </w:pPr>
      <w:r>
        <w:rPr>
          <w:rFonts w:ascii="Calibri"/>
          <w:b/>
          <w:bCs/>
          <w:color w:val="000000"/>
          <w:sz w:val="24"/>
          <w:szCs w:val="24"/>
        </w:rPr>
        <w:t xml:space="preserve">Design philosophy: </w:t>
      </w:r>
      <w:r>
        <w:rPr>
          <w:rFonts w:ascii="Calibri"/>
          <w:color w:val="000000"/>
          <w:sz w:val="24"/>
          <w:szCs w:val="24"/>
        </w:rPr>
        <w:t xml:space="preserve">The system prioritizes agentic intelligence over hardcoded rules, orchestration over single-API checks, and step-up response over binary block/allow decisions. Every component is built using tools from the hackathon's approved Resource and Tooling Guide, specifically n8n for workflow orchestration and Groq or Google Gemini for LLM inference.</w:t>
      </w:r>
    </w:p>
    <w:p>
      <w:pPr>
        <w:pStyle w:val="Heading1"/>
        <w:spacing w:after="160" w:before="360" w:line="312"/>
      </w:pPr>
      <w:bookmarkStart w:id="100001" w:name="_Toc100001"/>
      <w:r>
        <w:rPr>
          <w:rFonts w:ascii="Calibri"/>
          <w:b/>
          <w:bCs/>
          <w:color w:val="0A1628"/>
          <w:sz w:val="32"/>
          <w:szCs w:val="32"/>
        </w:rPr>
        <w:t xml:space="preserve">2. High-Level Architecture</w:t>
      </w:r>
      <w:bookmarkEnd w:id="100001"/>
    </w:p>
    <w:p>
      <w:pPr>
        <w:pStyle w:val="Heading2"/>
        <w:spacing w:after="120" w:before="240" w:line="312"/>
      </w:pPr>
      <w:bookmarkStart w:id="100002" w:name="_Toc100002"/>
      <w:r>
        <w:rPr>
          <w:rFonts w:ascii="Calibri"/>
          <w:b/>
          <w:bCs/>
          <w:color w:val="0A1628"/>
          <w:sz w:val="28"/>
          <w:szCs w:val="28"/>
        </w:rPr>
        <w:t xml:space="preserve">2.1 Architecture Layers</w:t>
      </w:r>
      <w:bookmarkEnd w:id="100002"/>
    </w:p>
    <w:p>
      <w:pPr>
        <w:spacing w:after="80" w:line="312"/>
        <w:jc w:val="both"/>
      </w:pPr>
      <w:r>
        <w:rPr>
          <w:rFonts w:ascii="Calibri"/>
          <w:color w:val="000000"/>
          <w:sz w:val="24"/>
          <w:szCs w:val="24"/>
        </w:rPr>
        <w:t xml:space="preserve">The TrustMesh architecture consists of five logical layers arranged in a pipeline. From left to right: (1) Event Ingestion, which receives transaction events via webhook from the fintech platform; (2) AI Agent Orchestration (n8n), which hosts the LLM-powered agent that decides which network signals to query; (3) CAMARA API Layer, which communicates with the Nokia Network-as-Code platform to access SIM Swap, Number Verification, and Device Status APIs; (4) Decision Engine, where the agent synthesizes signals into a risk score, recommended action, and natural-language explanation; and (5) Response Output, which returns the decision to the fintech platform via REST API, triggering the appropriate step-up verification flow or allowing the transaction.</w:t>
      </w:r>
    </w:p>
    <w:p>
      <w:pPr>
        <w:pStyle w:val="Heading2"/>
        <w:spacing w:after="120" w:before="240" w:line="312"/>
      </w:pPr>
      <w:bookmarkStart w:id="100003" w:name="_Toc100003"/>
      <w:r>
        <w:rPr>
          <w:rFonts w:ascii="Calibri"/>
          <w:b/>
          <w:bCs/>
          <w:color w:val="0A1628"/>
          <w:sz w:val="28"/>
          <w:szCs w:val="28"/>
        </w:rPr>
        <w:t xml:space="preserve">2.2 Technology Stack</w:t>
      </w:r>
      <w:bookmarkEnd w:id="100003"/>
    </w:p>
    <w:tbl>
      <w:tblPr>
        <w:tblW w:type="pct" w:w="100%"/>
        <w:tblBorders>
          <w:top w:val="single" w:color="1B6B7A" w:sz="2"/>
          <w:left w:val="none"/>
          <w:bottom w:val="single" w:color="1B6B7A" w:sz="2"/>
          <w:right w:val="none"/>
          <w:insideH w:val="single" w:color="D0D0D0" w:sz="1"/>
          <w:insideV w:val="none"/>
        </w:tblBorders>
      </w:tblPr>
      <w:tblGrid>
        <w:gridCol w:w="100"/>
        <w:gridCol w:w="100"/>
        <w:gridCol w:w="100"/>
      </w:tblGrid>
      <w:tr>
        <w:trPr>
          <w:cantSplit/>
          <w:tblHeader/>
        </w:trPr>
        <w:tc>
          <w:tcPr>
            <w:tcW w:type="pct" w:w="33.333333333333336%"/>
            <w:tcBorders>
              <w:top w:val="single" w:color="D0D0D0" w:sz="1"/>
              <w:left w:val="none"/>
              <w:bottom w:val="single" w:color="D0D0D0" w:sz="1"/>
              <w:right w:val="none"/>
            </w:tcBorders>
            <w:shd w:fill="1B6B7A" w:val="clear"/>
            <w:tcMar>
              <w:top w:type="dxa" w:w="60"/>
              <w:left w:type="dxa" w:w="120"/>
              <w:bottom w:type="dxa" w:w="60"/>
              <w:right w:type="dxa" w:w="120"/>
            </w:tcMar>
          </w:tcPr>
          <w:p>
            <w:r>
              <w:rPr>
                <w:rFonts w:ascii="Calibri"/>
                <w:b/>
                <w:bCs/>
                <w:color w:val="FFFFFF"/>
                <w:sz w:val="21"/>
                <w:szCs w:val="21"/>
              </w:rPr>
              <w:t xml:space="preserve">Layer</w:t>
            </w:r>
          </w:p>
        </w:tc>
        <w:tc>
          <w:tcPr>
            <w:tcW w:type="pct" w:w="33.333333333333336%"/>
            <w:tcBorders>
              <w:top w:val="single" w:color="D0D0D0" w:sz="1"/>
              <w:left w:val="none"/>
              <w:bottom w:val="single" w:color="D0D0D0" w:sz="1"/>
              <w:right w:val="none"/>
            </w:tcBorders>
            <w:shd w:fill="1B6B7A" w:val="clear"/>
            <w:tcMar>
              <w:top w:type="dxa" w:w="60"/>
              <w:left w:type="dxa" w:w="120"/>
              <w:bottom w:type="dxa" w:w="60"/>
              <w:right w:type="dxa" w:w="120"/>
            </w:tcMar>
          </w:tcPr>
          <w:p>
            <w:r>
              <w:rPr>
                <w:rFonts w:ascii="Calibri"/>
                <w:b/>
                <w:bCs/>
                <w:color w:val="FFFFFF"/>
                <w:sz w:val="21"/>
                <w:szCs w:val="21"/>
              </w:rPr>
              <w:t xml:space="preserve">Technology</w:t>
            </w:r>
          </w:p>
        </w:tc>
        <w:tc>
          <w:tcPr>
            <w:tcW w:type="pct" w:w="33.333333333333336%"/>
            <w:tcBorders>
              <w:top w:val="single" w:color="D0D0D0" w:sz="1"/>
              <w:left w:val="none"/>
              <w:bottom w:val="single" w:color="D0D0D0" w:sz="1"/>
              <w:right w:val="none"/>
            </w:tcBorders>
            <w:shd w:fill="1B6B7A" w:val="clear"/>
            <w:tcMar>
              <w:top w:type="dxa" w:w="60"/>
              <w:left w:type="dxa" w:w="120"/>
              <w:bottom w:type="dxa" w:w="60"/>
              <w:right w:type="dxa" w:w="120"/>
            </w:tcMar>
          </w:tcPr>
          <w:p>
            <w:r>
              <w:rPr>
                <w:rFonts w:ascii="Calibri"/>
                <w:b/>
                <w:bCs/>
                <w:color w:val="FFFFFF"/>
                <w:sz w:val="21"/>
                <w:szCs w:val="21"/>
              </w:rPr>
              <w:t xml:space="preserve">Details</w:t>
            </w:r>
          </w:p>
        </w:tc>
      </w:tr>
      <w:tr>
        <w:trPr>
          <w:cantSplit/>
          <w:tblHeader w:val="false"/>
        </w:trPr>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Orchestration</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n8n Community Edition</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Visual workflow builder with native AI Agent node, self-hosted</w:t>
            </w:r>
          </w:p>
        </w:tc>
      </w:tr>
      <w:tr>
        <w:trPr>
          <w:cantSplit/>
          <w:tblHeader w:val="false"/>
        </w:trPr>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AI Model</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Groq Llama 3.3 70B</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Free tier, sub-200ms inference latency for real-time decisions</w:t>
            </w:r>
          </w:p>
        </w:tc>
      </w:tr>
      <w:tr>
        <w:trPr>
          <w:cantSplit/>
          <w:tblHeader w:val="false"/>
        </w:trPr>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AI Model (alt)</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Google Gemini Flash</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Fallback model with fast inference</w:t>
            </w:r>
          </w:p>
        </w:tc>
      </w:tr>
      <w:tr>
        <w:trPr>
          <w:cantSplit/>
          <w:tblHeader w:val="false"/>
        </w:trPr>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Network APIs</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CAMARA via Nokia NaC</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SIM Swap, Number Verification, Device Status</w:t>
            </w:r>
          </w:p>
        </w:tc>
      </w:tr>
      <w:tr>
        <w:trPr>
          <w:cantSplit/>
          <w:tblHeader w:val="false"/>
        </w:trPr>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API Access</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Nokia NaC Developer Portal</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Simulator numbers for development, no special credentials</w:t>
            </w:r>
          </w:p>
        </w:tc>
      </w:tr>
      <w:tr>
        <w:trPr>
          <w:cantSplit/>
          <w:tblHeader w:val="false"/>
        </w:trPr>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Integration</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Webhook (in) + REST API (out)</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Event-driven architecture, drops into existing pipeline</w:t>
            </w:r>
          </w:p>
        </w:tc>
      </w:tr>
      <w:tr>
        <w:trPr>
          <w:cantSplit/>
          <w:tblHeader w:val="false"/>
        </w:trPr>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Hosting</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Docker / VM</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Self-hosted, zero external dependencies beyond approved tools</w:t>
            </w:r>
          </w:p>
        </w:tc>
      </w:tr>
    </w:tbl>
    <w:p>
      <w:pPr>
        <w:spacing w:after="200"/>
      </w:pPr>
    </w:p>
    <w:p>
      <w:pPr>
        <w:pStyle w:val="Heading1"/>
        <w:spacing w:after="160" w:before="360" w:line="312"/>
      </w:pPr>
      <w:bookmarkStart w:id="100004" w:name="_Toc100004"/>
      <w:r>
        <w:rPr>
          <w:rFonts w:ascii="Calibri"/>
          <w:b/>
          <w:bCs/>
          <w:color w:val="0A1628"/>
          <w:sz w:val="32"/>
          <w:szCs w:val="32"/>
        </w:rPr>
        <w:t xml:space="preserve">3. n8n Workflow Design</w:t>
      </w:r>
      <w:bookmarkEnd w:id="100004"/>
    </w:p>
    <w:p>
      <w:pPr>
        <w:pStyle w:val="Heading2"/>
        <w:spacing w:after="120" w:before="240" w:line="312"/>
      </w:pPr>
      <w:bookmarkStart w:id="100005" w:name="_Toc100005"/>
      <w:r>
        <w:rPr>
          <w:rFonts w:ascii="Calibri"/>
          <w:b/>
          <w:bCs/>
          <w:color w:val="0A1628"/>
          <w:sz w:val="28"/>
          <w:szCs w:val="28"/>
        </w:rPr>
        <w:t xml:space="preserve">3.1 Workflow Structure</w:t>
      </w:r>
      <w:bookmarkEnd w:id="100005"/>
    </w:p>
    <w:p>
      <w:pPr>
        <w:spacing w:after="80" w:line="312"/>
        <w:jc w:val="both"/>
      </w:pPr>
      <w:r>
        <w:rPr>
          <w:rFonts w:ascii="Calibri"/>
          <w:color w:val="000000"/>
          <w:sz w:val="24"/>
          <w:szCs w:val="24"/>
        </w:rPr>
        <w:t xml:space="preserve">The TrustMesh agent is implemented as a single n8n workflow containing the following nodes, connected in sequence:</w:t>
      </w:r>
    </w:p>
    <w:p>
      <w:pPr>
        <w:pStyle w:val="ListParagraph"/>
        <w:numPr>
          <w:ilvl w:val="0"/>
          <w:numId w:val="2"/>
        </w:numPr>
        <w:spacing w:after="40" w:line="312"/>
      </w:pPr>
      <w:r>
        <w:rPr>
          <w:rFonts w:ascii="Calibri"/>
          <w:color w:val="000000"/>
          <w:sz w:val="24"/>
          <w:szCs w:val="24"/>
        </w:rPr>
        <w:t xml:space="preserve">Webhook Trigger Node: Receives the transaction event payload (phone number, transaction amount, transaction type, device fingerprint, session ID, timestamp) from the fintech platform via a POST request.</w:t>
      </w:r>
    </w:p>
    <w:p>
      <w:pPr>
        <w:pStyle w:val="ListParagraph"/>
        <w:numPr>
          <w:ilvl w:val="0"/>
          <w:numId w:val="2"/>
        </w:numPr>
        <w:spacing w:after="40" w:line="312"/>
      </w:pPr>
      <w:r>
        <w:rPr>
          <w:rFonts w:ascii="Calibri"/>
          <w:color w:val="000000"/>
          <w:sz w:val="24"/>
          <w:szCs w:val="24"/>
        </w:rPr>
        <w:t xml:space="preserve">AI Agent Node (Core): Configured with the Groq Llama 3.3 70B model as its reasoning engine. The agent receives the transaction context and has access to three registered tools (SIM Swap Check, Number Verification, Device Status Check). The agent autonomously decides which tools to call based on the context, interprets the results, and produces a structured decision output.</w:t>
      </w:r>
    </w:p>
    <w:p>
      <w:pPr>
        <w:pStyle w:val="ListParagraph"/>
        <w:numPr>
          <w:ilvl w:val="0"/>
          <w:numId w:val="2"/>
        </w:numPr>
        <w:spacing w:after="40" w:line="312"/>
      </w:pPr>
      <w:r>
        <w:rPr>
          <w:rFonts w:ascii="Calibri"/>
          <w:color w:val="000000"/>
          <w:sz w:val="24"/>
          <w:szCs w:val="24"/>
        </w:rPr>
        <w:t xml:space="preserve">HTTP Request Nodes (3x): Each CAMARA API call is implemented as an n8n HTTP Request node that sends an authenticated request to the Nokia NaC simulator endpoint, passing the phone number and any required parameters. The response is parsed and returned to the agent as a tool result.</w:t>
      </w:r>
    </w:p>
    <w:p>
      <w:pPr>
        <w:pStyle w:val="ListParagraph"/>
        <w:numPr>
          <w:ilvl w:val="0"/>
          <w:numId w:val="2"/>
        </w:numPr>
        <w:spacing w:after="40" w:line="312"/>
      </w:pPr>
      <w:r>
        <w:rPr>
          <w:rFonts w:ascii="Calibri"/>
          <w:color w:val="000000"/>
          <w:sz w:val="24"/>
          <w:szCs w:val="24"/>
        </w:rPr>
        <w:t xml:space="preserve">Set Node: Transforms the agent's natural-language decision output into a structured JSON response with fields: risk_score (integer 0-100), recommended_action (string: allow / email_otp / biometric / block), explanation (string), api_calls_made (array), and decision_timestamp (ISO 8601).</w:t>
      </w:r>
    </w:p>
    <w:p>
      <w:pPr>
        <w:pStyle w:val="ListParagraph"/>
        <w:numPr>
          <w:ilvl w:val="0"/>
          <w:numId w:val="2"/>
        </w:numPr>
        <w:spacing w:after="40" w:line="312"/>
      </w:pPr>
      <w:r>
        <w:rPr>
          <w:rFonts w:ascii="Calibri"/>
          <w:color w:val="000000"/>
          <w:sz w:val="24"/>
          <w:szCs w:val="24"/>
        </w:rPr>
        <w:t xml:space="preserve">Respond to Webhook Node: Returns the structured JSON decision to the calling fintech platform via the webhook response.</w:t>
      </w:r>
    </w:p>
    <w:p>
      <w:pPr>
        <w:pStyle w:val="Heading2"/>
        <w:spacing w:after="120" w:before="240" w:line="312"/>
      </w:pPr>
      <w:bookmarkStart w:id="100006" w:name="_Toc100006"/>
      <w:r>
        <w:rPr>
          <w:rFonts w:ascii="Calibri"/>
          <w:b/>
          <w:bCs/>
          <w:color w:val="0A1628"/>
          <w:sz w:val="28"/>
          <w:szCs w:val="28"/>
        </w:rPr>
        <w:t xml:space="preserve">3.2 Agent Tool Registration</w:t>
      </w:r>
      <w:bookmarkEnd w:id="100006"/>
    </w:p>
    <w:p>
      <w:pPr>
        <w:spacing w:after="80" w:line="312"/>
        <w:jc w:val="both"/>
      </w:pPr>
      <w:r>
        <w:rPr>
          <w:rFonts w:ascii="Calibri"/>
          <w:color w:val="000000"/>
          <w:sz w:val="24"/>
          <w:szCs w:val="24"/>
        </w:rPr>
        <w:t xml:space="preserve">Each CAMARA API is registered as a tool in the n8n AI Agent node configuration. The tool definition includes: a name (e.g., 'check_sim_swap'), a description that helps the LLM understand when to use it (e.g., 'Check if the SIM card associated with a phone number has been recently swapped. Use this when you need to detect potential account takeover via SIM swap fraud.'), and the HTTP Request node it triggers. The agent's system prompt instructs it to act as a fraud detection specialist, reason over telecom network signals, and produce risk assessments with actionable recommendations.</w:t>
      </w:r>
    </w:p>
    <w:p>
      <w:pPr>
        <w:pStyle w:val="Heading1"/>
        <w:spacing w:after="160" w:before="360" w:line="312"/>
      </w:pPr>
      <w:bookmarkStart w:id="100007" w:name="_Toc100007"/>
      <w:r>
        <w:rPr>
          <w:rFonts w:ascii="Calibri"/>
          <w:b/>
          <w:bCs/>
          <w:color w:val="0A1628"/>
          <w:sz w:val="32"/>
          <w:szCs w:val="32"/>
        </w:rPr>
        <w:t xml:space="preserve">4. CAMARA API Integration Details</w:t>
      </w:r>
      <w:bookmarkEnd w:id="100007"/>
    </w:p>
    <w:p>
      <w:pPr>
        <w:pStyle w:val="Heading2"/>
        <w:spacing w:after="120" w:before="240" w:line="312"/>
      </w:pPr>
      <w:bookmarkStart w:id="100008" w:name="_Toc100008"/>
      <w:r>
        <w:rPr>
          <w:rFonts w:ascii="Calibri"/>
          <w:b/>
          <w:bCs/>
          <w:color w:val="0A1628"/>
          <w:sz w:val="28"/>
          <w:szCs w:val="28"/>
        </w:rPr>
        <w:t xml:space="preserve">4.1 SIM Swap API</w:t>
      </w:r>
      <w:bookmarkEnd w:id="100008"/>
    </w:p>
    <w:p>
      <w:pPr>
        <w:spacing w:after="80" w:line="312"/>
        <w:jc w:val="both"/>
      </w:pPr>
      <w:r>
        <w:rPr>
          <w:rFonts w:ascii="Calibri"/>
          <w:color w:val="000000"/>
          <w:sz w:val="24"/>
          <w:szCs w:val="24"/>
        </w:rPr>
        <w:t xml:space="preserve">Endpoint: Nokia NaC provides a REST endpoint for SIM Swap status checks. The API accepts a phone number in E.164 format and returns the date and time of the last SIM swap event, along with a boolean indicating whether a swap occurred within a specified lookback period (configured to 24 hours by default, adjustable to 7 days for lower-risk scenarios).</w:t>
      </w:r>
    </w:p>
    <w:p>
      <w:pPr>
        <w:spacing w:after="80" w:line="312"/>
        <w:jc w:val="both"/>
      </w:pPr>
      <w:r>
        <w:rPr>
          <w:rFonts w:ascii="Calibri"/>
          <w:b/>
          <w:bCs/>
          <w:color w:val="000000"/>
          <w:sz w:val="24"/>
          <w:szCs w:val="24"/>
        </w:rPr>
        <w:t xml:space="preserve">Request: </w:t>
      </w:r>
      <w:r>
        <w:rPr>
          <w:rFonts w:ascii="Calibri"/>
          <w:color w:val="000000"/>
          <w:sz w:val="24"/>
          <w:szCs w:val="24"/>
        </w:rPr>
        <w:t xml:space="preserve">POST /sim-swap/v1/check with body { "phoneNumber": "+971XXXXXXXXX", "maxAgeHours": 24 }.</w:t>
      </w:r>
    </w:p>
    <w:p>
      <w:pPr>
        <w:spacing w:after="80" w:line="312"/>
        <w:jc w:val="both"/>
      </w:pPr>
      <w:r>
        <w:rPr>
          <w:rFonts w:ascii="Calibri"/>
          <w:b/>
          <w:bCs/>
          <w:color w:val="000000"/>
          <w:sz w:val="24"/>
          <w:szCs w:val="24"/>
        </w:rPr>
        <w:t xml:space="preserve">Response: </w:t>
      </w:r>
      <w:r>
        <w:rPr>
          <w:rFonts w:ascii="Calibri"/>
          <w:color w:val="000000"/>
          <w:sz w:val="24"/>
          <w:szCs w:val="24"/>
        </w:rPr>
        <w:t xml:space="preserve">{ "lastSimChange": "2026-07-15T10:30:00Z", "swappedRecently": true, "currentSimSerial": "8901..." }.</w:t>
      </w:r>
    </w:p>
    <w:p>
      <w:pPr>
        <w:spacing w:after="80" w:line="312"/>
        <w:jc w:val="both"/>
      </w:pPr>
      <w:r>
        <w:rPr>
          <w:rFonts w:ascii="Calibri"/>
          <w:b/>
          <w:bCs/>
          <w:color w:val="000000"/>
          <w:sz w:val="24"/>
          <w:szCs w:val="24"/>
        </w:rPr>
        <w:t xml:space="preserve">Agent interpretation: </w:t>
      </w:r>
      <w:r>
        <w:rPr>
          <w:rFonts w:ascii="Calibri"/>
          <w:color w:val="000000"/>
          <w:sz w:val="24"/>
          <w:szCs w:val="24"/>
        </w:rPr>
        <w:t xml:space="preserve">The agent considers both the recency and the context. A SIM swap 2 hours before a high-value remittance triggers a high-risk score, while a swap 30 days ago during a low-value purchase may be ignored.</w:t>
      </w:r>
    </w:p>
    <w:p>
      <w:pPr>
        <w:pStyle w:val="Heading2"/>
        <w:spacing w:after="120" w:before="240" w:line="312"/>
      </w:pPr>
      <w:bookmarkStart w:id="100009" w:name="_Toc100009"/>
      <w:r>
        <w:rPr>
          <w:rFonts w:ascii="Calibri"/>
          <w:b/>
          <w:bCs/>
          <w:color w:val="0A1628"/>
          <w:sz w:val="28"/>
          <w:szCs w:val="28"/>
        </w:rPr>
        <w:t xml:space="preserve">4.2 Number Verification API</w:t>
      </w:r>
      <w:bookmarkEnd w:id="100009"/>
    </w:p>
    <w:p>
      <w:pPr>
        <w:spacing w:after="80" w:line="312"/>
        <w:jc w:val="both"/>
      </w:pPr>
      <w:r>
        <w:rPr>
          <w:rFonts w:ascii="Calibri"/>
          <w:color w:val="000000"/>
          <w:sz w:val="24"/>
          <w:szCs w:val="24"/>
        </w:rPr>
        <w:t xml:space="preserve">Endpoint: The Number Verification API confirms that the phone number associated with the active device session matches the registered subscriber. This prevents scenarios where a fraudster uses a different phone number to initiate a transaction while the victim's actual number remains active on a different device.</w:t>
      </w:r>
    </w:p>
    <w:p>
      <w:pPr>
        <w:spacing w:after="80" w:line="312"/>
        <w:jc w:val="both"/>
      </w:pPr>
      <w:r>
        <w:rPr>
          <w:rFonts w:ascii="Calibri"/>
          <w:b/>
          <w:bCs/>
          <w:color w:val="000000"/>
          <w:sz w:val="24"/>
          <w:szCs w:val="24"/>
        </w:rPr>
        <w:t xml:space="preserve">Request: </w:t>
      </w:r>
      <w:r>
        <w:rPr>
          <w:rFonts w:ascii="Calibri"/>
          <w:color w:val="000000"/>
          <w:sz w:val="24"/>
          <w:szCs w:val="24"/>
        </w:rPr>
        <w:t xml:space="preserve">POST /number-verification/v1/verify with body { "phoneNumber": "+971XXXXXXXXX" }.</w:t>
      </w:r>
    </w:p>
    <w:p>
      <w:pPr>
        <w:spacing w:after="80" w:line="312"/>
        <w:jc w:val="both"/>
      </w:pPr>
      <w:r>
        <w:rPr>
          <w:rFonts w:ascii="Calibri"/>
          <w:b/>
          <w:bCs/>
          <w:color w:val="000000"/>
          <w:sz w:val="24"/>
          <w:szCs w:val="24"/>
        </w:rPr>
        <w:t xml:space="preserve">Response: </w:t>
      </w:r>
      <w:r>
        <w:rPr>
          <w:rFonts w:ascii="Calibri"/>
          <w:color w:val="000000"/>
          <w:sz w:val="24"/>
          <w:szCs w:val="24"/>
        </w:rPr>
        <w:t xml:space="preserve">{ "devicePhoneNumber": "+971XXXXXXXXX", "match": true, "verificationResult": "MATCH" }.</w:t>
      </w:r>
    </w:p>
    <w:p>
      <w:pPr>
        <w:spacing w:after="80" w:line="312"/>
        <w:jc w:val="both"/>
      </w:pPr>
      <w:r>
        <w:rPr>
          <w:rFonts w:ascii="Calibri"/>
          <w:b/>
          <w:bCs/>
          <w:color w:val="000000"/>
          <w:sz w:val="24"/>
          <w:szCs w:val="24"/>
        </w:rPr>
        <w:t xml:space="preserve">Agent interpretation: </w:t>
      </w:r>
      <w:r>
        <w:rPr>
          <w:rFonts w:ascii="Calibri"/>
          <w:color w:val="000000"/>
          <w:sz w:val="24"/>
          <w:szCs w:val="24"/>
        </w:rPr>
        <w:t xml:space="preserve">A mismatch between the device phone number and the registered number is a strong fraud indicator, especially when combined with a recent SIM swap.</w:t>
      </w:r>
    </w:p>
    <w:p>
      <w:pPr>
        <w:pStyle w:val="Heading2"/>
        <w:spacing w:after="120" w:before="240" w:line="312"/>
      </w:pPr>
      <w:bookmarkStart w:id="100010" w:name="_Toc100010"/>
      <w:r>
        <w:rPr>
          <w:rFonts w:ascii="Calibri"/>
          <w:b/>
          <w:bCs/>
          <w:color w:val="0A1628"/>
          <w:sz w:val="28"/>
          <w:szCs w:val="28"/>
        </w:rPr>
        <w:t xml:space="preserve">4.3 Device Status API</w:t>
      </w:r>
      <w:bookmarkEnd w:id="100010"/>
    </w:p>
    <w:p>
      <w:pPr>
        <w:spacing w:after="80" w:line="312"/>
        <w:jc w:val="both"/>
      </w:pPr>
      <w:r>
        <w:rPr>
          <w:rFonts w:ascii="Calibri"/>
          <w:color w:val="000000"/>
          <w:sz w:val="24"/>
          <w:szCs w:val="24"/>
        </w:rPr>
        <w:t xml:space="preserve">Endpoint: The Device Status API provides real-time information about the device associated with a phone number, including connection status, roaming status, and recent device changes. This signal helps detect when a fraudster activates a victim's number on a new, previously unseen device.</w:t>
      </w:r>
    </w:p>
    <w:p>
      <w:pPr>
        <w:spacing w:after="80" w:line="312"/>
        <w:jc w:val="both"/>
      </w:pPr>
      <w:r>
        <w:rPr>
          <w:rFonts w:ascii="Calibri"/>
          <w:b/>
          <w:bCs/>
          <w:color w:val="000000"/>
          <w:sz w:val="24"/>
          <w:szCs w:val="24"/>
        </w:rPr>
        <w:t xml:space="preserve">Request: </w:t>
      </w:r>
      <w:r>
        <w:rPr>
          <w:rFonts w:ascii="Calibri"/>
          <w:color w:val="000000"/>
          <w:sz w:val="24"/>
          <w:szCs w:val="24"/>
        </w:rPr>
        <w:t xml:space="preserve">POST /device-status/v1/query with body { "phoneNumber": "+971XXXXXXXXX" }.</w:t>
      </w:r>
    </w:p>
    <w:p>
      <w:pPr>
        <w:spacing w:after="80" w:line="312"/>
        <w:jc w:val="both"/>
      </w:pPr>
      <w:r>
        <w:rPr>
          <w:rFonts w:ascii="Calibri"/>
          <w:b/>
          <w:bCs/>
          <w:color w:val="000000"/>
          <w:sz w:val="24"/>
          <w:szCs w:val="24"/>
        </w:rPr>
        <w:t xml:space="preserve">Response: </w:t>
      </w:r>
      <w:r>
        <w:rPr>
          <w:rFonts w:ascii="Calibri"/>
          <w:color w:val="000000"/>
          <w:sz w:val="24"/>
          <w:szCs w:val="24"/>
        </w:rPr>
        <w:t xml:space="preserve">{ "connectionStatus": "CONNECTED", "roamingStatus": false, "lastDeviceChange": "2026-07-15T08:00:00Z", "deviceInfo": { "type": "mobile", "os": "Android 14" } }.</w:t>
      </w:r>
    </w:p>
    <w:p>
      <w:pPr>
        <w:spacing w:after="80" w:line="312"/>
        <w:jc w:val="both"/>
      </w:pPr>
      <w:r>
        <w:rPr>
          <w:rFonts w:ascii="Calibri"/>
          <w:b/>
          <w:bCs/>
          <w:color w:val="000000"/>
          <w:sz w:val="24"/>
          <w:szCs w:val="24"/>
        </w:rPr>
        <w:t xml:space="preserve">Agent interpretation: </w:t>
      </w:r>
      <w:r>
        <w:rPr>
          <w:rFonts w:ascii="Calibri"/>
          <w:color w:val="000000"/>
          <w:sz w:val="24"/>
          <w:szCs w:val="24"/>
        </w:rPr>
        <w:t xml:space="preserve">A recent device change combined with a different operating system (e.g., the registered user has an iPhone but the current device is Android) is a high-confidence fraud signal.</w:t>
      </w:r>
    </w:p>
    <w:p>
      <w:pPr>
        <w:pStyle w:val="Heading1"/>
        <w:spacing w:after="160" w:before="360" w:line="312"/>
      </w:pPr>
      <w:bookmarkStart w:id="100011" w:name="_Toc100011"/>
      <w:r>
        <w:rPr>
          <w:rFonts w:ascii="Calibri"/>
          <w:b/>
          <w:bCs/>
          <w:color w:val="0A1628"/>
          <w:sz w:val="32"/>
          <w:szCs w:val="32"/>
        </w:rPr>
        <w:t xml:space="preserve">5. AI Agent Layer Design</w:t>
      </w:r>
      <w:bookmarkEnd w:id="100011"/>
    </w:p>
    <w:p>
      <w:pPr>
        <w:pStyle w:val="Heading2"/>
        <w:spacing w:after="120" w:before="240" w:line="312"/>
      </w:pPr>
      <w:bookmarkStart w:id="100012" w:name="_Toc100012"/>
      <w:r>
        <w:rPr>
          <w:rFonts w:ascii="Calibri"/>
          <w:b/>
          <w:bCs/>
          <w:color w:val="0A1628"/>
          <w:sz w:val="28"/>
          <w:szCs w:val="28"/>
        </w:rPr>
        <w:t xml:space="preserve">5.1 Model Selection</w:t>
      </w:r>
      <w:bookmarkEnd w:id="100012"/>
    </w:p>
    <w:p>
      <w:pPr>
        <w:spacing w:after="80" w:line="312"/>
        <w:jc w:val="both"/>
      </w:pPr>
      <w:r>
        <w:rPr>
          <w:rFonts w:ascii="Calibri"/>
          <w:color w:val="000000"/>
          <w:sz w:val="24"/>
          <w:szCs w:val="24"/>
        </w:rPr>
        <w:t xml:space="preserve">The primary model is Groq's Llama 3.3 70B, chosen for three reasons: it is available on the free tier, it provides sub-200ms inference latency (critical for real-time transaction flows), and it supports native tool-calling functionality that n8n's AI Agent node leverages directly. Google Gemini Flash serves as a fallback model, offering comparable speed and quality if Groq experiences downtime or rate-limiting.</w:t>
      </w:r>
    </w:p>
    <w:p>
      <w:pPr>
        <w:pStyle w:val="Heading2"/>
        <w:spacing w:after="120" w:before="240" w:line="312"/>
      </w:pPr>
      <w:bookmarkStart w:id="100013" w:name="_Toc100013"/>
      <w:r>
        <w:rPr>
          <w:rFonts w:ascii="Calibri"/>
          <w:b/>
          <w:bCs/>
          <w:color w:val="0A1628"/>
          <w:sz w:val="28"/>
          <w:szCs w:val="28"/>
        </w:rPr>
        <w:t xml:space="preserve">5.2 System Prompt Design</w:t>
      </w:r>
      <w:bookmarkEnd w:id="100013"/>
    </w:p>
    <w:p>
      <w:pPr>
        <w:spacing w:after="80" w:line="312"/>
        <w:jc w:val="both"/>
      </w:pPr>
      <w:r>
        <w:rPr>
          <w:rFonts w:ascii="Calibri"/>
          <w:color w:val="000000"/>
          <w:sz w:val="24"/>
          <w:szCs w:val="24"/>
        </w:rPr>
        <w:t xml:space="preserve">The agent's system prompt defines its role, capabilities, and decision framework. Key instructions include: act as a fraud detection specialist for a MENA fintech platform; use the provided telecom network signal tools to assess transaction risk; consider the transaction amount, type, and timing in your reasoning; produce a risk score from 0 to 100, a recommended action, and a clear explanation; and never block a transaction unless at least two signals indicate high risk, to minimize false positives.</w:t>
      </w:r>
    </w:p>
    <w:p>
      <w:pPr>
        <w:pStyle w:val="Heading2"/>
        <w:spacing w:after="120" w:before="240" w:line="312"/>
      </w:pPr>
      <w:bookmarkStart w:id="100014" w:name="_Toc100014"/>
      <w:r>
        <w:rPr>
          <w:rFonts w:ascii="Calibri"/>
          <w:b/>
          <w:bCs/>
          <w:color w:val="0A1628"/>
          <w:sz w:val="28"/>
          <w:szCs w:val="28"/>
        </w:rPr>
        <w:t xml:space="preserve">5.3 Risk Scoring Framework</w:t>
      </w:r>
      <w:bookmarkEnd w:id="100014"/>
    </w:p>
    <w:p>
      <w:pPr>
        <w:spacing w:after="80" w:line="312"/>
        <w:jc w:val="both"/>
      </w:pPr>
      <w:r>
        <w:rPr>
          <w:rFonts w:ascii="Calibri"/>
          <w:color w:val="000000"/>
          <w:sz w:val="24"/>
          <w:szCs w:val="24"/>
        </w:rPr>
        <w:t xml:space="preserve">The agent's risk scoring is not formulaic but contextual. However, the system prompt provides guidance on signal interpretation:</w:t>
      </w:r>
    </w:p>
    <w:tbl>
      <w:tblPr>
        <w:tblW w:type="pct" w:w="100%"/>
        <w:tblBorders>
          <w:top w:val="single" w:color="1B6B7A" w:sz="2"/>
          <w:left w:val="none"/>
          <w:bottom w:val="single" w:color="1B6B7A" w:sz="2"/>
          <w:right w:val="none"/>
          <w:insideH w:val="single" w:color="D0D0D0" w:sz="1"/>
          <w:insideV w:val="none"/>
        </w:tblBorders>
      </w:tblPr>
      <w:tblGrid>
        <w:gridCol w:w="100"/>
        <w:gridCol w:w="100"/>
        <w:gridCol w:w="100"/>
      </w:tblGrid>
      <w:tr>
        <w:trPr>
          <w:cantSplit/>
          <w:tblHeader/>
        </w:trPr>
        <w:tc>
          <w:tcPr>
            <w:tcW w:type="pct" w:w="33.333333333333336%"/>
            <w:tcBorders>
              <w:top w:val="single" w:color="D0D0D0" w:sz="1"/>
              <w:left w:val="none"/>
              <w:bottom w:val="single" w:color="D0D0D0" w:sz="1"/>
              <w:right w:val="none"/>
            </w:tcBorders>
            <w:shd w:fill="1B6B7A" w:val="clear"/>
            <w:tcMar>
              <w:top w:type="dxa" w:w="60"/>
              <w:left w:type="dxa" w:w="120"/>
              <w:bottom w:type="dxa" w:w="60"/>
              <w:right w:type="dxa" w:w="120"/>
            </w:tcMar>
          </w:tcPr>
          <w:p>
            <w:r>
              <w:rPr>
                <w:rFonts w:ascii="Calibri"/>
                <w:b/>
                <w:bCs/>
                <w:color w:val="FFFFFF"/>
                <w:sz w:val="21"/>
                <w:szCs w:val="21"/>
              </w:rPr>
              <w:t xml:space="preserve">Signal Combination</w:t>
            </w:r>
          </w:p>
        </w:tc>
        <w:tc>
          <w:tcPr>
            <w:tcW w:type="pct" w:w="33.333333333333336%"/>
            <w:tcBorders>
              <w:top w:val="single" w:color="D0D0D0" w:sz="1"/>
              <w:left w:val="none"/>
              <w:bottom w:val="single" w:color="D0D0D0" w:sz="1"/>
              <w:right w:val="none"/>
            </w:tcBorders>
            <w:shd w:fill="1B6B7A" w:val="clear"/>
            <w:tcMar>
              <w:top w:type="dxa" w:w="60"/>
              <w:left w:type="dxa" w:w="120"/>
              <w:bottom w:type="dxa" w:w="60"/>
              <w:right w:type="dxa" w:w="120"/>
            </w:tcMar>
          </w:tcPr>
          <w:p>
            <w:r>
              <w:rPr>
                <w:rFonts w:ascii="Calibri"/>
                <w:b/>
                <w:bCs/>
                <w:color w:val="FFFFFF"/>
                <w:sz w:val="21"/>
                <w:szCs w:val="21"/>
              </w:rPr>
              <w:t xml:space="preserve">Typical Score Range</w:t>
            </w:r>
          </w:p>
        </w:tc>
        <w:tc>
          <w:tcPr>
            <w:tcW w:type="pct" w:w="33.333333333333336%"/>
            <w:tcBorders>
              <w:top w:val="single" w:color="D0D0D0" w:sz="1"/>
              <w:left w:val="none"/>
              <w:bottom w:val="single" w:color="D0D0D0" w:sz="1"/>
              <w:right w:val="none"/>
            </w:tcBorders>
            <w:shd w:fill="1B6B7A" w:val="clear"/>
            <w:tcMar>
              <w:top w:type="dxa" w:w="60"/>
              <w:left w:type="dxa" w:w="120"/>
              <w:bottom w:type="dxa" w:w="60"/>
              <w:right w:type="dxa" w:w="120"/>
            </w:tcMar>
          </w:tcPr>
          <w:p>
            <w:r>
              <w:rPr>
                <w:rFonts w:ascii="Calibri"/>
                <w:b/>
                <w:bCs/>
                <w:color w:val="FFFFFF"/>
                <w:sz w:val="21"/>
                <w:szCs w:val="21"/>
              </w:rPr>
              <w:t xml:space="preserve">Recommended Action</w:t>
            </w:r>
          </w:p>
        </w:tc>
      </w:tr>
      <w:tr>
        <w:trPr>
          <w:cantSplit/>
          <w:tblHeader w:val="false"/>
        </w:trPr>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All clear (no swap, number matches, stable device)</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0 - 20</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Allow silently</w:t>
            </w:r>
          </w:p>
        </w:tc>
      </w:tr>
      <w:tr>
        <w:trPr>
          <w:cantSplit/>
          <w:tblHeader w:val="false"/>
        </w:trPr>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Minor anomaly (old SIM swap, no device change)</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21 - 40</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Allow with logging</w:t>
            </w:r>
          </w:p>
        </w:tc>
      </w:tr>
      <w:tr>
        <w:trPr>
          <w:cantSplit/>
          <w:tblHeader w:val="false"/>
        </w:trPr>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Moderate concern (recent device change, number matches)</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41 - 65</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Biometric re-authentication</w:t>
            </w:r>
          </w:p>
        </w:tc>
      </w:tr>
      <w:tr>
        <w:trPr>
          <w:cantSplit/>
          <w:tblHeader w:val="false"/>
        </w:trPr>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High concern (recent SIM swap + device mismatch)</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66 - 85</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Email OTP step-up verification</w:t>
            </w:r>
          </w:p>
        </w:tc>
      </w:tr>
      <w:tr>
        <w:trPr>
          <w:cantSplit/>
          <w:tblHeader w:val="false"/>
        </w:trPr>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Critical (SIM swap + number mismatch + device change)</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86 - 100</w:t>
            </w:r>
          </w:p>
        </w:tc>
        <w:tc>
          <w:tcPr>
            <w:tcW w:type="pct" w:w="33.333333333333336%"/>
            <w:tcBorders>
              <w:top w:val="single" w:color="D0D0D0" w:sz="1"/>
              <w:left w:val="none"/>
              <w:bottom w:val="single" w:color="D0D0D0" w:sz="1"/>
              <w:right w:val="none"/>
            </w:tcBorders>
            <w:shd w:fill="FFFFFF" w:val="clear"/>
            <w:tcMar>
              <w:top w:type="dxa" w:w="60"/>
              <w:left w:type="dxa" w:w="120"/>
              <w:bottom w:type="dxa" w:w="60"/>
              <w:right w:type="dxa" w:w="120"/>
            </w:tcMar>
          </w:tcPr>
          <w:p>
            <w:r>
              <w:rPr>
                <w:rFonts w:ascii="Calibri"/>
                <w:b w:val="false"/>
                <w:bCs w:val="false"/>
                <w:color w:val="000000"/>
                <w:sz w:val="21"/>
                <w:szCs w:val="21"/>
              </w:rPr>
              <w:t xml:space="preserve">Block transaction, alert fraud ops</w:t>
            </w:r>
          </w:p>
        </w:tc>
      </w:tr>
    </w:tbl>
    <w:p>
      <w:pPr>
        <w:spacing w:after="200"/>
      </w:pPr>
    </w:p>
    <w:p>
      <w:pPr>
        <w:spacing w:after="80" w:line="312"/>
        <w:jc w:val="both"/>
      </w:pPr>
      <w:r>
        <w:rPr>
          <w:rFonts w:ascii="Calibri"/>
          <w:color w:val="000000"/>
          <w:sz w:val="24"/>
          <w:szCs w:val="24"/>
        </w:rPr>
        <w:t xml:space="preserve">The agent is instructed to deviate from this framework when context warrants it. For example, a $50 grocery purchase with a recent SIM swap might score lower than a $5,000 remittance with the same signals, because the transaction amount and type provide additional context.</w:t>
      </w:r>
    </w:p>
    <w:p>
      <w:pPr>
        <w:pStyle w:val="Heading1"/>
        <w:spacing w:after="160" w:before="360" w:line="312"/>
      </w:pPr>
      <w:bookmarkStart w:id="100015" w:name="_Toc100015"/>
      <w:r>
        <w:rPr>
          <w:rFonts w:ascii="Calibri"/>
          <w:b/>
          <w:bCs/>
          <w:color w:val="0A1628"/>
          <w:sz w:val="32"/>
          <w:szCs w:val="32"/>
        </w:rPr>
        <w:t xml:space="preserve">6. Data Flow</w:t>
      </w:r>
      <w:bookmarkEnd w:id="100015"/>
    </w:p>
    <w:p>
      <w:pPr>
        <w:pStyle w:val="Heading2"/>
        <w:spacing w:after="120" w:before="240" w:line="312"/>
      </w:pPr>
      <w:bookmarkStart w:id="100016" w:name="_Toc100016"/>
      <w:r>
        <w:rPr>
          <w:rFonts w:ascii="Calibri"/>
          <w:b/>
          <w:bCs/>
          <w:color w:val="0A1628"/>
          <w:sz w:val="28"/>
          <w:szCs w:val="28"/>
        </w:rPr>
        <w:t xml:space="preserve">6.1 Event Ingestion</w:t>
      </w:r>
      <w:bookmarkEnd w:id="100016"/>
    </w:p>
    <w:p>
      <w:pPr>
        <w:spacing w:after="80" w:line="312"/>
        <w:jc w:val="both"/>
      </w:pPr>
      <w:r>
        <w:rPr>
          <w:rFonts w:ascii="Calibri"/>
          <w:color w:val="000000"/>
          <w:sz w:val="24"/>
          <w:szCs w:val="24"/>
        </w:rPr>
        <w:t xml:space="preserve">The fintech platform sends a POST request to the TrustMesh webhook endpoint with the following payload structure: { "transactionId": "txn_abc123", "phoneNumber": "+971XXXXXXXXX", "amount": 5000, "currency": "AED", "type": "remittance", "destinationCountry": "PH", "deviceFingerprint": "djb2a1...", "sessionId": "sess_xyz789", "timestamp": "2026-07-15T14:30:00Z" }. The webhook node in n8n receives this payload and passes it to the AI Agent node.</w:t>
      </w:r>
    </w:p>
    <w:p>
      <w:pPr>
        <w:pStyle w:val="Heading2"/>
        <w:spacing w:after="120" w:before="240" w:line="312"/>
      </w:pPr>
      <w:bookmarkStart w:id="100017" w:name="_Toc100017"/>
      <w:r>
        <w:rPr>
          <w:rFonts w:ascii="Calibri"/>
          <w:b/>
          <w:bCs/>
          <w:color w:val="0A1628"/>
          <w:sz w:val="28"/>
          <w:szCs w:val="28"/>
        </w:rPr>
        <w:t xml:space="preserve">6.2 Agent Processing</w:t>
      </w:r>
      <w:bookmarkEnd w:id="100017"/>
    </w:p>
    <w:p>
      <w:pPr>
        <w:spacing w:after="80" w:line="312"/>
        <w:jc w:val="both"/>
      </w:pPr>
      <w:r>
        <w:rPr>
          <w:rFonts w:ascii="Calibri"/>
          <w:color w:val="000000"/>
          <w:sz w:val="24"/>
          <w:szCs w:val="24"/>
        </w:rPr>
        <w:t xml:space="preserve">The AI Agent node receives the payload, injects it into the model's context along with the system prompt and tool definitions, and begins its reasoning loop. The model may call zero, one, two, or all three tools depending on what it deems necessary. Each tool call triggers the corresponding HTTP Request node, which calls the Nokia NaC simulator and returns the parsed response. The model continues reasoning until it has sufficient information to produce a decision.</w:t>
      </w:r>
    </w:p>
    <w:p>
      <w:pPr>
        <w:pStyle w:val="Heading2"/>
        <w:spacing w:after="120" w:before="240" w:line="312"/>
      </w:pPr>
      <w:bookmarkStart w:id="100018" w:name="_Toc100018"/>
      <w:r>
        <w:rPr>
          <w:rFonts w:ascii="Calibri"/>
          <w:b/>
          <w:bCs/>
          <w:color w:val="0A1628"/>
          <w:sz w:val="28"/>
          <w:szCs w:val="28"/>
        </w:rPr>
        <w:t xml:space="preserve">6.3 Decision Output</w:t>
      </w:r>
      <w:bookmarkEnd w:id="100018"/>
    </w:p>
    <w:p>
      <w:pPr>
        <w:spacing w:after="80" w:line="312"/>
        <w:jc w:val="both"/>
      </w:pPr>
      <w:r>
        <w:rPr>
          <w:rFonts w:ascii="Calibri"/>
          <w:color w:val="000000"/>
          <w:sz w:val="24"/>
          <w:szCs w:val="24"/>
        </w:rPr>
        <w:t xml:space="preserve">The agent's final output is structured into a JSON decision object and returned to the fintech platform via the webhook response: { "transactionId": "txn_abc123", "riskScore": 87, "recommendedAction": "email_otp", "explanation": "SIM was swapped 2 hours ago and the current device (Android) does not match the registered device (iPhone). High risk of account takeover. Recommend email OTP step-up verification before allowing this $5,000 remittance.", "apiCallsMade": ["sim_swap", "number_verification", "device_status"], "decisionTimestamp": "2026-07-15T14:30:00.234Z" }.</w:t>
      </w:r>
    </w:p>
    <w:p>
      <w:pPr>
        <w:pStyle w:val="Heading1"/>
        <w:spacing w:after="160" w:before="360" w:line="312"/>
      </w:pPr>
      <w:bookmarkStart w:id="100019" w:name="_Toc100019"/>
      <w:r>
        <w:rPr>
          <w:rFonts w:ascii="Calibri"/>
          <w:b/>
          <w:bCs/>
          <w:color w:val="0A1628"/>
          <w:sz w:val="32"/>
          <w:szCs w:val="32"/>
        </w:rPr>
        <w:t xml:space="preserve">7. Security Considerations</w:t>
      </w:r>
      <w:bookmarkEnd w:id="100019"/>
    </w:p>
    <w:p>
      <w:pPr>
        <w:pStyle w:val="ListParagraph"/>
        <w:numPr>
          <w:ilvl w:val="0"/>
          <w:numId w:val="3"/>
        </w:numPr>
        <w:spacing w:after="40" w:line="312"/>
      </w:pPr>
      <w:r>
        <w:rPr>
          <w:rFonts w:ascii="Calibri"/>
          <w:color w:val="000000"/>
          <w:sz w:val="24"/>
          <w:szCs w:val="24"/>
        </w:rPr>
        <w:t xml:space="preserve">Data minimization: TrustMesh processes only the minimum data required for fraud assessment. Phone numbers are passed to CAMARA APIs and not stored beyond the transaction lifecycle.</w:t>
      </w:r>
    </w:p>
    <w:p>
      <w:pPr>
        <w:pStyle w:val="ListParagraph"/>
        <w:numPr>
          <w:ilvl w:val="0"/>
          <w:numId w:val="3"/>
        </w:numPr>
        <w:spacing w:after="40" w:line="312"/>
      </w:pPr>
      <w:r>
        <w:rPr>
          <w:rFonts w:ascii="Calibri"/>
          <w:color w:val="000000"/>
          <w:sz w:val="24"/>
          <w:szCs w:val="24"/>
        </w:rPr>
        <w:t xml:space="preserve">No PII logging: The n8n workflow is configured to exclude phone numbers and device fingerprints from execution logs. Only the risk score, recommended action, and a hashed transaction ID are logged for audit purposes.</w:t>
      </w:r>
    </w:p>
    <w:p>
      <w:pPr>
        <w:pStyle w:val="ListParagraph"/>
        <w:numPr>
          <w:ilvl w:val="0"/>
          <w:numId w:val="3"/>
        </w:numPr>
        <w:spacing w:after="40" w:line="312"/>
      </w:pPr>
      <w:r>
        <w:rPr>
          <w:rFonts w:ascii="Calibri"/>
          <w:color w:val="000000"/>
          <w:sz w:val="24"/>
          <w:szCs w:val="24"/>
        </w:rPr>
        <w:t xml:space="preserve">API authentication: All Nokia NaC API calls use OAuth 2.0 bearer tokens. The n8n HTTP Request nodes include the access token in the Authorization header, and tokens are refreshed via a dedicated credential node.</w:t>
      </w:r>
    </w:p>
    <w:p>
      <w:pPr>
        <w:pStyle w:val="ListParagraph"/>
        <w:numPr>
          <w:ilvl w:val="0"/>
          <w:numId w:val="3"/>
        </w:numPr>
        <w:spacing w:after="40" w:line="312"/>
      </w:pPr>
      <w:r>
        <w:rPr>
          <w:rFonts w:ascii="Calibri"/>
          <w:color w:val="000000"/>
          <w:sz w:val="24"/>
          <w:szCs w:val="24"/>
        </w:rPr>
        <w:t xml:space="preserve">Input validation: The webhook trigger node validates the incoming payload schema before passing it to the agent, rejecting malformed requests with a 400 status code.</w:t>
      </w:r>
    </w:p>
    <w:p>
      <w:pPr>
        <w:pStyle w:val="ListParagraph"/>
        <w:numPr>
          <w:ilvl w:val="0"/>
          <w:numId w:val="3"/>
        </w:numPr>
        <w:spacing w:after="40" w:line="312"/>
      </w:pPr>
      <w:r>
        <w:rPr>
          <w:rFonts w:ascii="Calibri"/>
          <w:color w:val="000000"/>
          <w:sz w:val="24"/>
          <w:szCs w:val="24"/>
        </w:rPr>
        <w:t xml:space="preserve">Rate limiting: The n8n workflow includes a rate-limit node that caps the number of transactions processed per minute, preventing abuse and ensuring fair usage of CAMARA API quotas.</w:t>
      </w:r>
    </w:p>
    <w:p>
      <w:pPr>
        <w:pStyle w:val="Heading1"/>
        <w:spacing w:after="160" w:before="360" w:line="312"/>
      </w:pPr>
      <w:bookmarkStart w:id="100020" w:name="_Toc100020"/>
      <w:r>
        <w:rPr>
          <w:rFonts w:ascii="Calibri"/>
          <w:b/>
          <w:bCs/>
          <w:color w:val="0A1628"/>
          <w:sz w:val="32"/>
          <w:szCs w:val="32"/>
        </w:rPr>
        <w:t xml:space="preserve">8. Fallback and Resilience</w:t>
      </w:r>
      <w:bookmarkEnd w:id="100020"/>
    </w:p>
    <w:p>
      <w:pPr>
        <w:pStyle w:val="Heading2"/>
        <w:spacing w:after="120" w:before="240" w:line="312"/>
      </w:pPr>
      <w:bookmarkStart w:id="100021" w:name="_Toc100021"/>
      <w:r>
        <w:rPr>
          <w:rFonts w:ascii="Calibri"/>
          <w:b/>
          <w:bCs/>
          <w:color w:val="0A1628"/>
          <w:sz w:val="28"/>
          <w:szCs w:val="28"/>
        </w:rPr>
        <w:t xml:space="preserve">8.1 API Fallback Strategy</w:t>
      </w:r>
      <w:bookmarkEnd w:id="100021"/>
    </w:p>
    <w:p>
      <w:pPr>
        <w:spacing w:after="80" w:line="312"/>
        <w:jc w:val="both"/>
      </w:pPr>
      <w:r>
        <w:rPr>
          <w:rFonts w:ascii="Calibri"/>
          <w:color w:val="000000"/>
          <w:sz w:val="24"/>
          <w:szCs w:val="24"/>
        </w:rPr>
        <w:t xml:space="preserve">For the Phase 2 live demo, TrustMesh includes a fallback mechanism with pre-cached CAMARA API responses. If a live Nokia NaC API call fails due to rate-limiting, network issues, or simulator downtime, the system automatically switches to a cached response that simulates a realistic API result. This fallback is transparent to the agent, which continues reasoning as if the API returned normally. The fallback is implemented as a Try/Catch node in n8n that catches HTTP errors and substitutes cached data.</w:t>
      </w:r>
    </w:p>
    <w:p>
      <w:pPr>
        <w:pStyle w:val="Heading2"/>
        <w:spacing w:after="120" w:before="240" w:line="312"/>
      </w:pPr>
      <w:bookmarkStart w:id="100022" w:name="_Toc100022"/>
      <w:r>
        <w:rPr>
          <w:rFonts w:ascii="Calibri"/>
          <w:b/>
          <w:bCs/>
          <w:color w:val="0A1628"/>
          <w:sz w:val="28"/>
          <w:szCs w:val="28"/>
        </w:rPr>
        <w:t xml:space="preserve">8.2 Model Fallback</w:t>
      </w:r>
      <w:bookmarkEnd w:id="100022"/>
    </w:p>
    <w:p>
      <w:pPr>
        <w:spacing w:after="80" w:line="312"/>
        <w:jc w:val="both"/>
      </w:pPr>
      <w:r>
        <w:rPr>
          <w:rFonts w:ascii="Calibri"/>
          <w:color w:val="000000"/>
          <w:sz w:val="24"/>
          <w:szCs w:val="24"/>
        </w:rPr>
        <w:t xml:space="preserve">If Groq Llama 3.3 is unavailable, the n8n AI Agent node can be reconfigured to use Google Gemini Flash with a single setting change. Both models support the same tool-calling interface, ensuring no workflow changes are needed. For the demo, a pre-configured Gemini Flash credential is available as a backup.</w:t>
      </w:r>
    </w:p>
    <w:p>
      <w:pPr>
        <w:pStyle w:val="Heading2"/>
        <w:spacing w:after="120" w:before="240" w:line="312"/>
      </w:pPr>
      <w:bookmarkStart w:id="100023" w:name="_Toc100023"/>
      <w:r>
        <w:rPr>
          <w:rFonts w:ascii="Calibri"/>
          <w:b/>
          <w:bCs/>
          <w:color w:val="0A1628"/>
          <w:sz w:val="28"/>
          <w:szCs w:val="28"/>
        </w:rPr>
        <w:t xml:space="preserve">8.3 Demo Resilience</w:t>
      </w:r>
      <w:bookmarkEnd w:id="100023"/>
    </w:p>
    <w:p>
      <w:pPr>
        <w:spacing w:after="80" w:line="312"/>
        <w:jc w:val="both"/>
      </w:pPr>
      <w:r>
        <w:rPr>
          <w:rFonts w:ascii="Calibri"/>
          <w:color w:val="000000"/>
          <w:sz w:val="24"/>
          <w:szCs w:val="24"/>
        </w:rPr>
        <w:t xml:space="preserve">The entire TrustMesh system is self-hosted in a Docker container, ensuring no dependency on external services during the live demo beyond the Nokia NaC simulator (which has the fallback) and the LLM API (which has the model fallback). This three-layer resilience strategy (API cache + model fallback + self-hosted container) ensures the demo runs smoothly under any conditions.</w:t>
      </w:r>
    </w:p>
    <w:p>
      <w:pPr>
        <w:pStyle w:val="Heading1"/>
        <w:spacing w:after="160" w:before="360" w:line="312"/>
      </w:pPr>
      <w:bookmarkStart w:id="100024" w:name="_Toc100024"/>
      <w:r>
        <w:rPr>
          <w:rFonts w:ascii="Calibri"/>
          <w:b/>
          <w:bCs/>
          <w:color w:val="0A1628"/>
          <w:sz w:val="32"/>
          <w:szCs w:val="32"/>
        </w:rPr>
        <w:t xml:space="preserve">9. Deployment Architecture</w:t>
      </w:r>
      <w:bookmarkEnd w:id="100024"/>
    </w:p>
    <w:p>
      <w:pPr>
        <w:pStyle w:val="Heading2"/>
        <w:spacing w:after="120" w:before="240" w:line="312"/>
      </w:pPr>
      <w:bookmarkStart w:id="100025" w:name="_Toc100025"/>
      <w:r>
        <w:rPr>
          <w:rFonts w:ascii="Calibri"/>
          <w:b/>
          <w:bCs/>
          <w:color w:val="0A1628"/>
          <w:sz w:val="28"/>
          <w:szCs w:val="28"/>
        </w:rPr>
        <w:t xml:space="preserve">9.1 Phase 2 Demo Environment</w:t>
      </w:r>
      <w:bookmarkEnd w:id="100025"/>
    </w:p>
    <w:p>
      <w:pPr>
        <w:spacing w:after="80" w:line="312"/>
        <w:jc w:val="both"/>
      </w:pPr>
      <w:r>
        <w:rPr>
          <w:rFonts w:ascii="Calibri"/>
          <w:color w:val="000000"/>
          <w:sz w:val="24"/>
          <w:szCs w:val="24"/>
        </w:rPr>
        <w:t xml:space="preserve">For the live demo, TrustMesh runs as a single Docker container hosting n8n Community Edition. The container exposes the webhook endpoint on port 5678 and is accessible to the judge's demo environment via a tunnel (ngrok or localtunnel) or a shared screen share. The Nokia NaC simulator is accessed via its public developer portal, and the Groq API is accessed via its public endpoint.</w:t>
      </w:r>
    </w:p>
    <w:p>
      <w:pPr>
        <w:pStyle w:val="Heading2"/>
        <w:spacing w:after="120" w:before="240" w:line="312"/>
      </w:pPr>
      <w:bookmarkStart w:id="100026" w:name="_Toc100026"/>
      <w:r>
        <w:rPr>
          <w:rFonts w:ascii="Calibri"/>
          <w:b/>
          <w:bCs/>
          <w:color w:val="0A1628"/>
          <w:sz w:val="28"/>
          <w:szCs w:val="28"/>
        </w:rPr>
        <w:t xml:space="preserve">9.2 Production Architecture (Future State)</w:t>
      </w:r>
      <w:bookmarkEnd w:id="100026"/>
    </w:p>
    <w:p>
      <w:pPr>
        <w:spacing w:after="80" w:line="312"/>
        <w:jc w:val="both"/>
      </w:pPr>
      <w:r>
        <w:rPr>
          <w:rFonts w:ascii="Calibri"/>
          <w:color w:val="000000"/>
          <w:sz w:val="24"/>
          <w:szCs w:val="24"/>
        </w:rPr>
        <w:t xml:space="preserve">In a production deployment, TrustMesh would be deployed as follows: n8n runs in queue-mode execution with a Redis-backed job queue and PostgreSQL database for persistent workflow state. The webhook endpoint sits behind an API gateway (e.g., Kong or AWS API Gateway) that handles authentication, rate limiting, and request routing. CAMARA API calls are routed through an API aggregation layer that manages MNO-specific authentication and load balancing. The entire system is containerized and deployed on Kubernetes for horizontal scaling, with each component independently scalable based on transaction volume.</w:t>
      </w:r>
    </w:p>
    <w:p>
      <w:pPr>
        <w:pStyle w:val="Heading2"/>
        <w:spacing w:after="120" w:before="240" w:line="312"/>
      </w:pPr>
      <w:bookmarkStart w:id="100027" w:name="_Toc100027"/>
      <w:r>
        <w:rPr>
          <w:rFonts w:ascii="Calibri"/>
          <w:b/>
          <w:bCs/>
          <w:color w:val="0A1628"/>
          <w:sz w:val="28"/>
          <w:szCs w:val="28"/>
        </w:rPr>
        <w:t xml:space="preserve">9.3 MNO Integration Path</w:t>
      </w:r>
      <w:bookmarkEnd w:id="100027"/>
    </w:p>
    <w:p>
      <w:pPr>
        <w:spacing w:after="80" w:line="312"/>
        <w:jc w:val="both"/>
      </w:pPr>
      <w:r>
        <w:rPr>
          <w:rFonts w:ascii="Calibri"/>
          <w:color w:val="000000"/>
          <w:sz w:val="24"/>
          <w:szCs w:val="24"/>
        </w:rPr>
        <w:t xml:space="preserve">TrustMesh is designed to integrate with any Mobile Network Operator that exposes CAMARA APIs through the Nokia NaC platform or a compatible gateway. The integration path involves: (1) registering as a developer on the MNO's API portal, (2) obtaining OAuth 2.0 credentials, (3) configuring the n8n HTTP Request nodes with the MNO's base URL and authentication, and (4) testing with the MNO's simulator before switching to production endpoints. Because CAMARA APIs are standardized, switching between MNOs requires only credential changes, not workflow modifications.</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08080"/>
        <w:sz w:val="18"/>
        <w:szCs w:val="18"/>
      </w:rPr>
      <w:t xml:space="preserve">TrustMesh | Technical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b/>
      <w:bCs/>
      <w:color w:val="0A1628"/>
      <w:sz w:val="32"/>
      <w:szCs w:val="32"/>
    </w:rPr>
  </w:style>
  <w:style w:type="paragraph" w:styleId="Heading2">
    <w:name w:val="Heading 2"/>
    <w:basedOn w:val="Normal"/>
    <w:next w:val="Normal"/>
    <w:qFormat/>
    <w:pPr>
      <w:spacing w:after="120" w:before="240" w:line="312"/>
      <w:outlineLvl w:val="1"/>
    </w:pPr>
    <w:rPr>
      <w:rFonts w:ascii="Calibri"/>
      <w:b/>
      <w:bCs/>
      <w:color w:val="0A1628"/>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2026-07-15T11:32:57.512Z</dcterms:created>
  <dcterms:modified xsi:type="dcterms:W3CDTF">2026-07-15T11:32:57.513Z</dcterms:modified>
</cp:coreProperties>
</file>

<file path=docProps/custom.xml><?xml version="1.0" encoding="utf-8"?>
<Properties xmlns="http://schemas.openxmlformats.org/officeDocument/2006/custom-properties" xmlns:vt="http://schemas.openxmlformats.org/officeDocument/2006/docPropsVTypes"/>
</file>