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الورقة البيضاء لـ GCCoin الإصدار 1.0</w:t>
      </w:r>
    </w:p>
    <w:p>
      <w:pPr>
        <w:pStyle w:val="Heading1"/>
      </w:pPr>
      <w:r>
        <w:t>١. الملخص التنفيذي</w:t>
      </w:r>
    </w:p>
    <w:p>
      <w:r>
        <w:t>GCCoin هي عملة رقمية للاستخدام الحوكمي والخدمي، مصممة خصيصًا لدول مجلس التعاون الخليجي، بهدف توحيد وتعزيز الجيل القادم من التمويل اللامركزي والتفاعل الرقمي في منطقة الخليج.</w:t>
        <w:br/>
        <w:br/>
        <w:t>رؤيتنا هي تقديم رمز رقمي آمن وموثوق به يعكس قيم الطموح التكنولوجي والهوية الثقافية لدول الخليج. ستُستخدم GCCoin في المدفوعات، برامج الولاء، التخزين الحلال، الحوالات، ونماذج الحوكمة المستقبلية.</w:t>
      </w:r>
    </w:p>
    <w:p>
      <w:pPr>
        <w:pStyle w:val="Heading1"/>
      </w:pPr>
      <w:r>
        <w:t>٢. اقتصاد الرمز (Tokenomics)</w:t>
      </w:r>
    </w:p>
    <w:p>
      <w:r>
        <w:t>إجمالي المعروض: ٧٥٠,٠٠٠,٠٠٠ GCC (ثابت)</w:t>
        <w:br/>
        <w:br/>
        <w:t>توزيع الرموز:</w:t>
        <w:br/>
        <w:t>- ٤٠٪ — مخصص للعامة (البيع المسبق، السيولة، المجتمع)</w:t>
        <w:br/>
        <w:t>- ٢٥٪ — نمو النظام البيئي (التخزين، المكافآت، الحملات الترويجية)</w:t>
        <w:br/>
        <w:t>- ١٥٪ — الفريق المؤسس (فترة استحقاق لمدة ٢٤ شهرًا)</w:t>
        <w:br/>
        <w:t>- ١٠٪ — الشركاء الاستراتيجيون والمستشارون</w:t>
        <w:br/>
        <w:t>- ١٠٪ — الخزينة الاحتياطية (أمان، إعادة شراء، عمليات طوارئ)</w:t>
        <w:br/>
        <w:br/>
        <w:t>آلية الحرق:</w:t>
        <w:br/>
        <w:t>سيتم حرق جزء من الرسوم والمخصصات الدورية من الخزينة بشكل منتظم للحفاظ على التوازن والانكماش التدريجي.</w:t>
        <w:br/>
        <w:br/>
        <w:t>وظائف العقد الذكي:</w:t>
        <w:br/>
        <w:t>- pause()/unpause() — إيقاف طارئ</w:t>
        <w:br/>
        <w:t>- burn() — إمكانية الحرق من قِبل المجتمع</w:t>
        <w:br/>
        <w:t>- حد أقصى للمعاملات (مكافحة الحيتان)</w:t>
        <w:br/>
        <w:t>- إمكانية تحويل الملكية → حوكمة DAO مستقبلية</w:t>
      </w:r>
    </w:p>
    <w:p>
      <w:pPr>
        <w:pStyle w:val="Heading1"/>
      </w:pPr>
      <w:r>
        <w:t>٣. البنية التحتية للبلوك تشين</w:t>
      </w:r>
    </w:p>
    <w:p>
      <w:r>
        <w:t>الشبكة المختارة: شبكة BNB الذكية (BEP-20)</w:t>
        <w:br/>
        <w:br/>
        <w:t>الأسباب:</w:t>
        <w:br/>
        <w:t>- سرعة معالجة عالية</w:t>
        <w:br/>
        <w:t>- رسوم معاملات منخفضة جدًا</w:t>
        <w:br/>
        <w:t>- انتشار واعتماد إقليمي كبير</w:t>
        <w:br/>
        <w:t>- توافق كامل مع Ethereum (EVM)</w:t>
        <w:br/>
        <w:t>- إمكانية النقل إلى Polygon أو Base في المراحل المستقبلية</w:t>
        <w:br/>
        <w:br/>
        <w:t>خيارات الجسور المستقبلية:</w:t>
        <w:br/>
        <w:t>- Ethereum</w:t>
        <w:br/>
        <w:t>- Polygon</w:t>
        <w:br/>
        <w:t>- Base أو Arbitrum</w:t>
      </w:r>
    </w:p>
    <w:p>
      <w:pPr>
        <w:pStyle w:val="Heading1"/>
      </w:pPr>
      <w:r>
        <w:t>٤. حالات الاستخدام</w:t>
      </w:r>
    </w:p>
    <w:p>
      <w:r>
        <w:t>تهدف GCCoin إلى تقديم فائدة عملية في المجالات التالية:</w:t>
        <w:br/>
        <w:br/>
        <w:t>أ. التخزين الحلال والمكافآت</w:t>
        <w:br/>
        <w:t>- نماذج توزيع أرباح بدون فوائد (متوافقة مع الشريعة)</w:t>
        <w:br/>
        <w:t>- عقود ذكية شفافة وبسيطة للمستثمر المسلم</w:t>
        <w:br/>
        <w:br/>
        <w:t>ب. الحوالات داخل دول الخليج</w:t>
        <w:br/>
        <w:t>- إرسال مباشر برسوم منخفضة جدًا بين المستخدمين</w:t>
        <w:br/>
        <w:t>- دعم بوابات دفع محلية في المرحلة الثانية</w:t>
        <w:br/>
        <w:br/>
        <w:t>ج. برامج الولاء والعروض الترويجية</w:t>
        <w:br/>
        <w:t>- يمكن تحويلها إلى نقاط مكافأة للمتاجر في الخليج</w:t>
        <w:br/>
        <w:t>- تكامل متعدد العلامات التجارية</w:t>
        <w:br/>
        <w:br/>
        <w:t>د. السفر والفعاليات</w:t>
        <w:br/>
        <w:t>- حجوزات، تذاكر، وإمكانية استخدامها في مناسبات محلية وسياحية</w:t>
      </w:r>
    </w:p>
    <w:p>
      <w:pPr>
        <w:pStyle w:val="Heading1"/>
      </w:pPr>
      <w:r>
        <w:t>٥. خارطة الطريق</w:t>
      </w:r>
    </w:p>
    <w:p>
      <w:r>
        <w:t>المرحلة ١: التأسيس</w:t>
        <w:br/>
        <w:t>- إصدار الورقة البيضاء (عربي + إنجليزي)</w:t>
        <w:br/>
        <w:t>- إطلاق الموقع</w:t>
        <w:br/>
        <w:t>- نشر العقد الذكي (شبكة تجريبية)</w:t>
        <w:br/>
        <w:t>- تحديد الهوية البصرية</w:t>
        <w:br/>
        <w:t>- إطلاق القنوات الاجتماعية + التسجيل المسبق</w:t>
        <w:br/>
        <w:br/>
        <w:t>المرحلة ٢: الإطلاق المجتمعي</w:t>
        <w:br/>
        <w:t>- حملة توزيع الرموز (Airdrop)</w:t>
        <w:br/>
        <w:t>- إطلاق الرمز في بورصة لامركزية</w:t>
        <w:br/>
        <w:t>- قفل السيولة ومراجعة أمنية</w:t>
        <w:br/>
        <w:t>- بيع عام / خاص</w:t>
        <w:br/>
        <w:t>- حملة ترويجية ثنائية اللغة</w:t>
        <w:br/>
        <w:br/>
        <w:t>المرحلة ٣: نمو النظام البيئي</w:t>
        <w:br/>
        <w:t>- شراكات مع تجار خليجيين</w:t>
        <w:br/>
        <w:t>- تطوير واجهات برمجة الولاء</w:t>
        <w:br/>
        <w:t>- بناء نموذج DAO</w:t>
        <w:br/>
        <w:t>- دعم استخدام الرمز في NFT والتطبيقات الموسعة</w:t>
      </w:r>
    </w:p>
    <w:p>
      <w:pPr>
        <w:pStyle w:val="Heading1"/>
      </w:pPr>
      <w:r>
        <w:t>٦. تقليل المخاطر والحوكمة</w:t>
      </w:r>
    </w:p>
    <w:p>
      <w:r>
        <w:t>صُممت GCCoin لتجنب المشكلات الشائعة في الرموز الحديثة:</w:t>
        <w:br/>
        <w:br/>
        <w:t>- 🔒 قفل السيولة الأولية في منصة آمنة (مثل PinkSale أو Unicrypt)</w:t>
        <w:br/>
        <w:t>- ⚙️ وظائف العقد الذكي تشمل الإيقاف، التحكم في الملكية، وإمكانية الحوكمة</w:t>
        <w:br/>
        <w:t>- 🛡️ آليات لمكافحة الحيتان والبيع المفاجئ</w:t>
        <w:br/>
        <w:t>- 🗳️ نموذج DAO في المستقبل لتوزيع الصلاحيات</w:t>
      </w:r>
    </w:p>
    <w:p>
      <w:pPr>
        <w:pStyle w:val="Heading1"/>
      </w:pPr>
      <w:r>
        <w:t>٧. الاعتبارات القانونية والتنظيمية</w:t>
      </w:r>
    </w:p>
    <w:p>
      <w:r>
        <w:t>GCCoin ليست أوراقًا مالية. هي عملة خدمية مخصصة للتفاعل المجتمعي والمكافآت الرقمية.</w:t>
        <w:br/>
        <w:br/>
        <w:t>هذه الورقة البيضاء لأغراض إعلامية فقط، ولا تمثل مشورة مالية أو قانونية أو استثمارية.</w:t>
        <w:br/>
        <w:br/>
        <w:t>سيتماشى المشروع مع التحديثات القانونية المستمرة في دول مجلس التعاون، ويضمن الشفافية والتعاون مع المراجعين والمستشارين القانونيين عند الحاجة.</w:t>
      </w:r>
    </w:p>
    <w:p>
      <w:pPr>
        <w:pStyle w:val="Heading1"/>
      </w:pPr>
      <w:r>
        <w:t>٨. معلومات التواصل والعلامة التجارية</w:t>
      </w:r>
    </w:p>
    <w:p>
      <w:r>
        <w:t>الموقع: [قريبًا]</w:t>
        <w:br/>
        <w:t>تيليجرام: [@GCCoinOfficial]</w:t>
        <w:br/>
        <w:t>X (تويتر): [@GCCoin]</w:t>
        <w:br/>
        <w:t>البريد الإلكتروني: investor@gccoin.io</w:t>
        <w:br/>
        <w:br/>
        <w:t>إرشادات الهوية البصرية والخطوط والألوان متاحة عند الطلب.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