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GCCoin Whitepaper v1.0 (English)</w:t>
      </w:r>
    </w:p>
    <w:p>
      <w:pPr>
        <w:pStyle w:val="Heading1"/>
      </w:pPr>
      <w:r>
        <w:t>1. Executive Summary</w:t>
      </w:r>
    </w:p>
    <w:p>
      <w:r>
        <w:t>GCCoin is a digital utility and governance token built for the Gulf Cooperation Council (GCC) region, designed to unify and empower the next generation of decentralized finance and digital interaction in the Arab Gulf.</w:t>
        <w:br/>
        <w:br/>
        <w:t>Our mission is to provide a blockchain-native, secure, and trustworthy token that represents the values, technological ambition, and cultural identity of the Gulf. GCCoin will serve as a key digital infrastructure layer for use in payments, loyalty programs, halal staking, remittances, and future tokenized governance models.</w:t>
      </w:r>
    </w:p>
    <w:p>
      <w:pPr>
        <w:pStyle w:val="Heading1"/>
      </w:pPr>
      <w:r>
        <w:t>2. Tokenomics</w:t>
      </w:r>
    </w:p>
    <w:p>
      <w:r>
        <w:t>Total Supply: 750,000,000 GCC (Fixed)</w:t>
        <w:br/>
        <w:br/>
        <w:t>Token Distribution:</w:t>
        <w:br/>
        <w:t>- 40% — Public Allocation (Pre-sale, DEX/CEX liquidity, community)</w:t>
        <w:br/>
        <w:t>- 25% — Ecosystem Growth (Staking, rewards, airdrops, incentives)</w:t>
        <w:br/>
        <w:t>- 15% — Founding Team (24-month vesting with cliff)</w:t>
        <w:br/>
        <w:t>- 10% — Strategic Partners &amp; Advisors</w:t>
        <w:br/>
        <w:t>- 10% — Reserve Treasury (security, buybacks, emergency ops)</w:t>
        <w:br/>
        <w:br/>
        <w:t>Burn Mechanism:</w:t>
        <w:br/>
        <w:t>Portions of ecosystem fees and treasury unlocks will be burned periodically to ensure controlled deflation over time.</w:t>
        <w:br/>
        <w:br/>
        <w:t>Smart Contract Functions:</w:t>
        <w:br/>
        <w:t>- pause()/unpause() – Emergency stop for network abuse or exploits</w:t>
        <w:br/>
        <w:t>- burn() – Community burn capability</w:t>
        <w:br/>
        <w:t>- Anti-whale cap (e.g., per-transaction % limit)</w:t>
        <w:br/>
        <w:t>- Ownership transfer → optional DAO migration</w:t>
      </w:r>
    </w:p>
    <w:p>
      <w:pPr>
        <w:pStyle w:val="Heading1"/>
      </w:pPr>
      <w:r>
        <w:t>3. Blockchain Infrastructure</w:t>
      </w:r>
    </w:p>
    <w:p>
      <w:r>
        <w:t>Chosen Network: BNB Smart Chain (BEP-20)</w:t>
        <w:br/>
        <w:br/>
        <w:t>Reasons:</w:t>
        <w:br/>
        <w:t>- High transaction speed</w:t>
        <w:br/>
        <w:t>- Extremely low gas fees</w:t>
        <w:br/>
        <w:t>- Strong GCC regional adoption</w:t>
        <w:br/>
        <w:t>- Full Ethereum Virtual Machine (EVM) compatibility</w:t>
        <w:br/>
        <w:t>- Easily portable to Polygon or Base in future phases</w:t>
        <w:br/>
        <w:br/>
        <w:t>Optional future bridges to:</w:t>
        <w:br/>
        <w:t>- Ethereum (for major liquidity pools)</w:t>
        <w:br/>
        <w:t>- Polygon (for retail/GamFi)</w:t>
        <w:br/>
        <w:t>- Base/Arbitrum (for long-term L2 scaling)</w:t>
      </w:r>
    </w:p>
    <w:p>
      <w:pPr>
        <w:pStyle w:val="Heading1"/>
      </w:pPr>
      <w:r>
        <w:t>4. Use Cases</w:t>
      </w:r>
    </w:p>
    <w:p>
      <w:r>
        <w:t>GCCoin aims to provide real-world digital utility in the following areas:</w:t>
        <w:br/>
        <w:br/>
        <w:t>A. Halal Staking &amp; Yield Programs</w:t>
        <w:br/>
        <w:t>- Fixed, no-interest rewards via Sharia-compliant staking</w:t>
        <w:br/>
        <w:t>- Transparent profit-sharing models, not interest-bearing systems</w:t>
        <w:br/>
        <w:br/>
        <w:t>B. GCC Remittances</w:t>
        <w:br/>
        <w:t>- Micro-fee peer-to-peer transfer within GCC countries</w:t>
        <w:br/>
        <w:t>- Wallet-to-wallet or retail-backed gateway systems</w:t>
        <w:br/>
        <w:br/>
        <w:t>C. Loyalty Integration</w:t>
        <w:br/>
        <w:t>- Can be used by Gulf-based retail brands for loyalty point conversion</w:t>
        <w:br/>
        <w:t>- Cross-brand promotional bonuses</w:t>
        <w:br/>
        <w:br/>
        <w:t>D. Travel &amp; Events</w:t>
        <w:br/>
        <w:t>- Event ticketing, travel deposits, and access tokens for tourism and entertainment within the GCC</w:t>
      </w:r>
    </w:p>
    <w:p>
      <w:pPr>
        <w:pStyle w:val="Heading1"/>
      </w:pPr>
      <w:r>
        <w:t>5. Roadmap (Phase-Based)</w:t>
      </w:r>
    </w:p>
    <w:p>
      <w:r>
        <w:t>Phase 1: Foundation</w:t>
        <w:br/>
        <w:t>- Whitepaper (EN + AR)</w:t>
        <w:br/>
        <w:t>- Website Launch (Preview)</w:t>
        <w:br/>
        <w:t>- Smart Contract (Testnet)</w:t>
        <w:br/>
        <w:t>- Brand Identity</w:t>
        <w:br/>
        <w:t>- Socials + Waitlist</w:t>
        <w:br/>
        <w:br/>
        <w:t>Phase 2: Community Launch</w:t>
        <w:br/>
        <w:t>- Airdrop Campaign</w:t>
        <w:br/>
        <w:t>- Token Launch (DEX)</w:t>
        <w:br/>
        <w:t>- LP Lock &amp; Contract Audit</w:t>
        <w:br/>
        <w:t>- Pre-sale / Public Sale</w:t>
        <w:br/>
        <w:t>- Bilingual Social Media Push</w:t>
        <w:br/>
        <w:br/>
        <w:t>Phase 3: Ecosystem Growth</w:t>
        <w:br/>
        <w:t>- GCC Merchant Partnerships</w:t>
        <w:br/>
        <w:t>- Loyalty API Rollout</w:t>
        <w:br/>
        <w:t>- DAO Model Development</w:t>
        <w:br/>
        <w:t>- Token Utility Expansion (Staking, Events, NFT integrations)</w:t>
      </w:r>
    </w:p>
    <w:p>
      <w:pPr>
        <w:pStyle w:val="Heading1"/>
      </w:pPr>
      <w:r>
        <w:t>6. Risk Mitigation &amp; Governance</w:t>
      </w:r>
    </w:p>
    <w:p>
      <w:r>
        <w:t>GCCoin is designed to resist typical pitfalls of early-stage tokens:</w:t>
        <w:br/>
        <w:br/>
        <w:t>- Liquidity Lock: Initial LP will be locked on-chain via a trusted locker (e.g., PinkSale or Unicrypt)</w:t>
        <w:br/>
        <w:t>- Smart Contract Controls: Includes pause, ownership transfer, and multi-sig upgrade readiness</w:t>
        <w:br/>
        <w:t>- Whale Mitigation: Anti-dump transaction limits</w:t>
        <w:br/>
        <w:t>- Optional DAO Migration: Future governance rights distributed to holders through a staged rollout</w:t>
      </w:r>
    </w:p>
    <w:p>
      <w:pPr>
        <w:pStyle w:val="Heading1"/>
      </w:pPr>
      <w:r>
        <w:t>7. Legal &amp; Regulatory Positioning</w:t>
      </w:r>
    </w:p>
    <w:p>
      <w:r>
        <w:t>GCCoin is not a security. It is a utility token created for community engagement and ecosystem incentives.</w:t>
        <w:br/>
        <w:br/>
        <w:t>The whitepaper is for informational purposes only. It does not constitute legal, financial, or investment advice.</w:t>
        <w:br/>
        <w:br/>
        <w:t>Regulatory considerations are subject to change depending on the evolving legal frameworks in each GCC jurisdiction. Our team is committed to transparency, periodic disclosures, and working with future audit/legal partners.</w:t>
      </w:r>
    </w:p>
    <w:p>
      <w:pPr>
        <w:pStyle w:val="Heading1"/>
      </w:pPr>
      <w:r>
        <w:t>8. Contact &amp; Branding</w:t>
      </w:r>
    </w:p>
    <w:p>
      <w:r>
        <w:t>Website: [Coming soon]</w:t>
        <w:br/>
        <w:t>Telegram: [@GCCoinOfficial]</w:t>
        <w:br/>
        <w:t>Twitter/X: [@GCCoin]</w:t>
        <w:br/>
        <w:t>Email: investor@gccoin.io</w:t>
        <w:br/>
        <w:br/>
        <w:t>Branding guidelines, fonts, color schemes, and icons are 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