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22"/>
          <w:szCs w:val="22"/>
        </w:rPr>
        <w:t xml:space="preserve">HETA Verfahrenstechnik GmbH</w:t>
      </w:r>
    </w:p>
    <w:p>
      <w:pPr>
        <w:spacing w:after="200"/>
      </w:pPr>
      <w:r>
        <w:rPr>
          <w:rFonts w:ascii="Arial" w:cs="Arial" w:eastAsia="Arial" w:hAnsi="Arial"/>
          <w:b/>
          <w:bCs/>
          <w:sz w:val="32"/>
          <w:szCs w:val="32"/>
        </w:rPr>
        <w:t xml:space="preserve">BETRIEBS-, WARTUNGS- UND INSTALLATIONSHANDBUCH</w:t>
      </w:r>
    </w:p>
    <w:p>
      <w:pPr>
        <w:spacing w:after="240"/>
      </w:pPr>
      <w:r>
        <w:rPr>
          <w:rFonts w:ascii="Arial" w:cs="Arial" w:eastAsia="Arial" w:hAnsi="Arial"/>
          <w:sz w:val="24"/>
          <w:szCs w:val="24"/>
        </w:rPr>
        <w:t xml:space="preserve">Obenverladearm mit elektrischem Antrieb (Heben / Senken)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13"/>
        <w:gridCol w:w="1400"/>
        <w:gridCol w:w="1913"/>
        <w:gridCol w:w="1200"/>
        <w:gridCol w:w="1912"/>
      </w:tblGrid>
      <w:tr>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Kunde</w:t>
            </w:r>
            <w:r>
              <w:rPr>
                <w:rFonts w:ascii="Arial" w:cs="Arial" w:eastAsia="Arial" w:hAnsi="Arial"/>
                <w:i/>
                <w:iCs/>
                <w:color w:val="666666"/>
                <w:sz w:val="14"/>
                <w:szCs w:val="14"/>
              </w:rPr>
              <w:t xml:space="preserve"> / Customer</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Gegenstand</w:t>
            </w:r>
            <w:r>
              <w:rPr>
                <w:rFonts w:ascii="Arial" w:cs="Arial" w:eastAsia="Arial" w:hAnsi="Arial"/>
                <w:i/>
                <w:iCs/>
                <w:color w:val="666666"/>
                <w:sz w:val="14"/>
                <w:szCs w:val="14"/>
              </w:rPr>
              <w:t xml:space="preserve"> / Subject</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Obenverladearm, elektrisch</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Auftrags-Nr.</w:t>
            </w:r>
            <w:r>
              <w:rPr>
                <w:rFonts w:ascii="Arial" w:cs="Arial" w:eastAsia="Arial" w:hAnsi="Arial"/>
                <w:i/>
                <w:iCs/>
                <w:color w:val="666666"/>
                <w:sz w:val="14"/>
                <w:szCs w:val="14"/>
              </w:rPr>
              <w:t xml:space="preserve"> / Job no.</w:t>
            </w:r>
          </w:p>
        </w:tc>
        <w:tc>
          <w:tcPr>
            <w:tcW w:type="dxa" w:w="191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K-04793/26</w:t>
            </w:r>
          </w:p>
        </w:tc>
      </w:tr>
      <w:tr>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Bestell-Nr.</w:t>
            </w:r>
            <w:r>
              <w:rPr>
                <w:rFonts w:ascii="Arial" w:cs="Arial" w:eastAsia="Arial" w:hAnsi="Arial"/>
                <w:i/>
                <w:iCs/>
                <w:color w:val="666666"/>
                <w:sz w:val="14"/>
                <w:szCs w:val="14"/>
              </w:rPr>
              <w:t xml:space="preserve"> / PO no.</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Zeichnungs-Nr.</w:t>
            </w:r>
            <w:r>
              <w:rPr>
                <w:rFonts w:ascii="Arial" w:cs="Arial" w:eastAsia="Arial" w:hAnsi="Arial"/>
                <w:i/>
                <w:iCs/>
                <w:color w:val="666666"/>
                <w:sz w:val="14"/>
                <w:szCs w:val="14"/>
              </w:rPr>
              <w:t xml:space="preserve"> / Drawing no.</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00028433</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Baujahr</w:t>
            </w:r>
            <w:r>
              <w:rPr>
                <w:rFonts w:ascii="Arial" w:cs="Arial" w:eastAsia="Arial" w:hAnsi="Arial"/>
                <w:i/>
                <w:iCs/>
                <w:color w:val="666666"/>
                <w:sz w:val="14"/>
                <w:szCs w:val="14"/>
              </w:rPr>
              <w:t xml:space="preserve"> / Year</w:t>
            </w:r>
          </w:p>
        </w:tc>
        <w:tc>
          <w:tcPr>
            <w:tcW w:type="dxa" w:w="191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2026</w:t>
            </w:r>
          </w:p>
        </w:tc>
      </w:tr>
      <w:tr>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Projekt</w:t>
            </w:r>
            <w:r>
              <w:rPr>
                <w:rFonts w:ascii="Arial" w:cs="Arial" w:eastAsia="Arial" w:hAnsi="Arial"/>
                <w:i/>
                <w:iCs/>
                <w:color w:val="666666"/>
                <w:sz w:val="14"/>
                <w:szCs w:val="14"/>
              </w:rPr>
              <w:t xml:space="preserve"> / Project</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Fabrik-Nr.</w:t>
            </w:r>
            <w:r>
              <w:rPr>
                <w:rFonts w:ascii="Arial" w:cs="Arial" w:eastAsia="Arial" w:hAnsi="Arial"/>
                <w:i/>
                <w:iCs/>
                <w:color w:val="666666"/>
                <w:sz w:val="14"/>
                <w:szCs w:val="14"/>
              </w:rPr>
              <w:t xml:space="preserve"> / Serial no.</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4793-01</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Dok-Nr.</w:t>
            </w:r>
            <w:r>
              <w:rPr>
                <w:rFonts w:ascii="Arial" w:cs="Arial" w:eastAsia="Arial" w:hAnsi="Arial"/>
                <w:i/>
                <w:iCs/>
                <w:color w:val="666666"/>
                <w:sz w:val="14"/>
                <w:szCs w:val="14"/>
              </w:rPr>
              <w:t xml:space="preserve"> / Doc-ID</w:t>
            </w:r>
          </w:p>
        </w:tc>
        <w:tc>
          <w:tcPr>
            <w:tcW w:type="dxa" w:w="191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OMIM-4793</w:t>
            </w:r>
          </w:p>
        </w:tc>
      </w:tr>
    </w:tbl>
    <w:p>
      <w:pPr>
        <w:spacing w:after="120" w:before="300"/>
      </w:pPr>
      <w:r>
        <w:rPr>
          <w:rFonts w:ascii="Arial" w:cs="Arial" w:eastAsia="Arial" w:hAnsi="Arial"/>
          <w:b/>
          <w:bCs/>
          <w:sz w:val="24"/>
          <w:szCs w:val="24"/>
        </w:rP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40" w:before="280"/>
      </w:pPr>
      <w:r>
        <w:rPr>
          <w:rFonts w:ascii="Arial" w:cs="Arial" w:eastAsia="Arial" w:hAnsi="Arial"/>
          <w:b/>
          <w:bCs/>
          <w:sz w:val="26"/>
          <w:szCs w:val="26"/>
        </w:rPr>
        <w:t xml:space="preserve">1. ZWECK UND GELTUNGSBEREICH</w:t>
      </w:r>
    </w:p>
    <w:p>
      <w:pPr>
        <w:spacing w:after="120"/>
      </w:pPr>
      <w:r>
        <w:rPr>
          <w:rFonts w:ascii="Arial" w:cs="Arial" w:eastAsia="Arial" w:hAnsi="Arial"/>
          <w:sz w:val="20"/>
          <w:szCs w:val="20"/>
        </w:rPr>
        <w:t xml:space="preserve">Diese Betriebsanleitung beschreibt den sicheren Umgang mit dem Obenverladearm mit elektrischem Antrieb gemäß HETA-Zeichnung </w:t>
      </w:r>
      <w:r>
        <w:rPr>
          <w:rFonts w:ascii="Arial" w:cs="Arial" w:eastAsia="Arial" w:hAnsi="Arial"/>
          <w:b/>
          <w:bCs/>
          <w:i/>
          <w:iCs/>
          <w:sz w:val="20"/>
          <w:szCs w:val="20"/>
        </w:rPr>
        <w:t xml:space="preserve">00028433</w:t>
      </w:r>
      <w:r>
        <w:rPr>
          <w:rFonts w:ascii="Arial" w:cs="Arial" w:eastAsia="Arial" w:hAnsi="Arial"/>
          <w:sz w:val="20"/>
          <w:szCs w:val="20"/>
        </w:rPr>
        <w:t xml:space="preserve"> einschließlich Schaltschrank, Steuerung und Sensorik.</w:t>
      </w:r>
    </w:p>
    <w:p>
      <w:pPr>
        <w:spacing w:after="120"/>
      </w:pPr>
      <w:r>
        <w:rPr>
          <w:rFonts w:ascii="Arial" w:cs="Arial" w:eastAsia="Arial" w:hAnsi="Arial"/>
          <w:sz w:val="20"/>
          <w:szCs w:val="20"/>
        </w:rPr>
        <w:t xml:space="preserve">Die Anleitung gilt für Transport, Montage, Inbetriebnahme, Betrieb, Inspektion, Wartung, Störungsbehandlung und Außerbetriebnahme des Verladearms. Sie ersetzt nicht die Betriebsanweisungen der Gesamt-Verladeanlage oder die Herstellerunterlagen zu Elektromotor, Frequenzumrichter, Sensorik und weiteren Zukaufteilen.</w:t>
      </w:r>
    </w:p>
    <w:p>
      <w:pPr>
        <w:pStyle w:val="Heading2"/>
        <w:keepNext/>
        <w:spacing w:after="100" w:before="200"/>
      </w:pPr>
      <w:r>
        <w:rPr>
          <w:rFonts w:ascii="Arial" w:cs="Arial" w:eastAsia="Arial" w:hAnsi="Arial"/>
          <w:b/>
          <w:bCs/>
          <w:sz w:val="22"/>
          <w:szCs w:val="22"/>
        </w:rPr>
        <w:t xml:space="preserve">1.1. Hersteller</w:t>
      </w:r>
    </w:p>
    <w:p>
      <w:pPr>
        <w:spacing w:after="120"/>
      </w:pPr>
      <w:r>
        <w:rPr>
          <w:rFonts w:ascii="Arial" w:cs="Arial" w:eastAsia="Arial" w:hAnsi="Arial"/>
          <w:b/>
          <w:bCs/>
          <w:sz w:val="20"/>
          <w:szCs w:val="20"/>
        </w:rPr>
        <w:t xml:space="preserve">HETA Verfahrenstechnik GmbH</w:t>
      </w:r>
    </w:p>
    <w:p>
      <w:pPr>
        <w:spacing w:after="120"/>
      </w:pPr>
      <w:r>
        <w:rPr>
          <w:rFonts w:ascii="Arial" w:cs="Arial" w:eastAsia="Arial" w:hAnsi="Arial"/>
          <w:sz w:val="20"/>
          <w:szCs w:val="20"/>
        </w:rPr>
        <w:t xml:space="preserve">Gottlieb-Daimler-Straße 7, 35423 Lich, Deutschland</w:t>
      </w:r>
    </w:p>
    <w:p>
      <w:pPr>
        <w:spacing w:after="120"/>
      </w:pPr>
      <w:r>
        <w:rPr>
          <w:rFonts w:ascii="Arial" w:cs="Arial" w:eastAsia="Arial" w:hAnsi="Arial"/>
          <w:sz w:val="20"/>
          <w:szCs w:val="20"/>
        </w:rPr>
        <w:t xml:space="preserve">www.heta.de</w:t>
      </w:r>
    </w:p>
    <w:p>
      <w:pPr>
        <w:pStyle w:val="Heading2"/>
        <w:keepNext/>
        <w:spacing w:after="100" w:before="200"/>
      </w:pPr>
      <w:r>
        <w:rPr>
          <w:rFonts w:ascii="Arial" w:cs="Arial" w:eastAsia="Arial" w:hAnsi="Arial"/>
          <w:b/>
          <w:bCs/>
          <w:sz w:val="22"/>
          <w:szCs w:val="22"/>
        </w:rPr>
        <w:t xml:space="preserve">1.2. Konformität</w:t>
      </w:r>
    </w:p>
    <w:p>
      <w:pPr>
        <w:spacing w:after="120"/>
      </w:pPr>
      <w:r>
        <w:rPr>
          <w:rFonts w:ascii="Arial" w:cs="Arial" w:eastAsia="Arial" w:hAnsi="Arial"/>
          <w:sz w:val="20"/>
          <w:szCs w:val="20"/>
        </w:rPr>
        <w:t xml:space="preserve">Der Verladearm einschließlich Schaltschrank und Steuerung ist als Maschine im Sinne der Maschinenrichtlinie 2006/42/EG ausgeführt und trägt die CE-Kennzeichnung. Die EG-Konformitätserklärung liegt der Lieferung bei.</w:t>
      </w:r>
    </w:p>
    <w:p>
      <w:pPr>
        <w:spacing w:after="120"/>
      </w:pPr>
      <w:r>
        <w:rPr>
          <w:rFonts w:ascii="Arial" w:cs="Arial" w:eastAsia="Arial" w:hAnsi="Arial"/>
          <w:sz w:val="20"/>
          <w:szCs w:val="20"/>
        </w:rPr>
        <w:t xml:space="preserve">Der Verladearm ist nicht für den Einsatz in explosionsgefährdeten Bereichen ausgelegt und darf nicht in Ex-Zonen aufgestellt oder betrieben werden.</w:t>
      </w:r>
    </w:p>
    <w:p>
      <w:pPr>
        <w:pStyle w:val="Heading2"/>
        <w:keepNext/>
        <w:spacing w:after="100" w:before="200"/>
      </w:pPr>
      <w:r>
        <w:rPr>
          <w:rFonts w:ascii="Arial" w:cs="Arial" w:eastAsia="Arial" w:hAnsi="Arial"/>
          <w:b/>
          <w:bCs/>
          <w:sz w:val="22"/>
          <w:szCs w:val="22"/>
        </w:rPr>
        <w:t xml:space="preserve">1.3. Aufbewahrung der Anleitung</w:t>
      </w:r>
    </w:p>
    <w:p>
      <w:pPr>
        <w:spacing w:after="120"/>
      </w:pPr>
      <w:r>
        <w:rPr>
          <w:rFonts w:ascii="Arial" w:cs="Arial" w:eastAsia="Arial" w:hAnsi="Arial"/>
          <w:sz w:val="20"/>
          <w:szCs w:val="20"/>
        </w:rPr>
        <w:t xml:space="preserve">Diese Betriebsanleitung ist Bestandteil des Verladearms. Sie ist während der gesamten Lebensdauer in der Nähe des Verladearms aufzubewahren und muss dem Bedien- und Wartungspersonal jederzeit zugänglich sein. Bei Weitergabe des Verladearms ist die Anleitung mitzugeben.</w:t>
      </w:r>
    </w:p>
    <w:p>
      <w:pPr>
        <w:pStyle w:val="Heading2"/>
        <w:keepNext/>
        <w:spacing w:after="100" w:before="200"/>
      </w:pPr>
      <w:r>
        <w:rPr>
          <w:rFonts w:ascii="Arial" w:cs="Arial" w:eastAsia="Arial" w:hAnsi="Arial"/>
          <w:b/>
          <w:bCs/>
          <w:sz w:val="22"/>
          <w:szCs w:val="22"/>
        </w:rPr>
        <w:t xml:space="preserve">1.4. Darstellung der Warnhinweise</w:t>
      </w:r>
    </w:p>
    <w:p>
      <w:pPr>
        <w:spacing w:after="120"/>
      </w:pPr>
      <w:r>
        <w:rPr>
          <w:rFonts w:ascii="Arial" w:cs="Arial" w:eastAsia="Arial" w:hAnsi="Arial"/>
          <w:sz w:val="20"/>
          <w:szCs w:val="20"/>
        </w:rPr>
        <w:t xml:space="preserve">Warnhinweise in dieser Anleitung sind nach ISO 3864-2 / ANSI Z535.6 aufgebaut: Signalwort, Art und Quelle der Gefahr, mögliche Folgen sowie Maßnahmen zur Abwendung.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Signalwort</w:t>
            </w:r>
          </w:p>
        </w:tc>
        <w:tc>
          <w:tcPr>
            <w:tcW w:type="dxa" w:w="7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Bedeutung</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GEFAHR</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Unmittelbar gefährliche Situation, die bei Nichtbeachtung zu Tod oder schwerer Verletzung führt.</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WARNUNG</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Möglicherweise gefährliche Situation, die bei Nichtbeachtung zu Tod oder schwerer Verletzung führen kann.</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VORSICHT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Möglicherweise gefährliche Situation, die bei Nichtbeachtung zu leichter oder mittlerer Verletzung führen kann.</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HINWEIS</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Information zur sachgerechten Handhabung oder Hinweis auf mögliche Sachschäden.</w:t>
            </w:r>
          </w:p>
        </w:tc>
      </w:tr>
    </w:tbl>
    <w:p>
      <w:pPr>
        <w:pStyle w:val="Heading1"/>
        <w:keepNext/>
        <w:spacing w:after="140" w:before="280"/>
      </w:pPr>
      <w:r>
        <w:rPr>
          <w:rFonts w:ascii="Arial" w:cs="Arial" w:eastAsia="Arial" w:hAnsi="Arial"/>
          <w:b/>
          <w:bCs/>
          <w:sz w:val="26"/>
          <w:szCs w:val="26"/>
        </w:rPr>
        <w:t xml:space="preserve">2. TECHNISCHE DATEN</w:t>
      </w:r>
    </w:p>
    <w:p>
      <w:pPr>
        <w:keepNext/>
        <w:spacing w:after="80" w:before="140"/>
      </w:pPr>
      <w:r>
        <w:rPr>
          <w:rFonts w:ascii="Arial" w:cs="Arial" w:eastAsia="Arial" w:hAnsi="Arial"/>
          <w:b/>
          <w:bCs/>
          <w:sz w:val="20"/>
          <w:szCs w:val="20"/>
        </w:rPr>
        <w:t xml:space="preserve">Verladearm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Bezeichnung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Verladearm mit elektrischem Antrieb</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Werksnummer / Zeichnung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4793-01 / 00028433</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Nennweite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DN 100</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Polymerdispersion, flüssig</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Dichte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ca. 1.100 kg/m³</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Betriebsdruck PS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1 bis 4 bar</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Prüfdruck PT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15 bar</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Auslegungstemperatur</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10 bis 180 °C</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Volumen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68 l</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Gewicht leer</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ca. 251 kg</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Betriebs-/gefülltes Gewicht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ca. 326 kg</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Gesamtausladung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ca. 5,5 m</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Elektrischer Antrieb</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RF47, 0,75 kW, 230/400 V, Abtriebsmoment Ma = 300 Nm, mit Haltebremse</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Bewegung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Heben / Senken, Bewegungsbereich ±45°</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Geräuschemission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A-bewerteter Emissionsschalldruckpegel am Bedienplatz &lt; 70 dB(A)</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Einsatzbereich</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Nicht explosionsgefährdeter Bereich (keine Ex-Zone)</w:t>
            </w:r>
          </w:p>
        </w:tc>
      </w:tr>
    </w:tbl>
    <w:p>
      <w:pPr>
        <w:keepNext/>
        <w:spacing w:after="80" w:before="140"/>
      </w:pPr>
      <w:r>
        <w:rPr>
          <w:rFonts w:ascii="Arial" w:cs="Arial" w:eastAsia="Arial" w:hAnsi="Arial"/>
          <w:b/>
          <w:bCs/>
          <w:sz w:val="20"/>
          <w:szCs w:val="20"/>
        </w:rPr>
        <w:t xml:space="preserve">Schaltschrank und Steuerung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Elektrischer Anschluss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400 V AC, 3~ (3P + N + PE), 50 Hz</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Bemessungsstrom</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16 A</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Netzstecker</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CEE 16 A, 5-polig, 6h (Mennekes Typ 13510, IP54)</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Stromanschlusskabel</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ca. 10 m, fertig konfektioniert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Bauseitige Absicherung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üblicherweise 3-poliger Leitungsschutzschalter B16; FI-Schutzschalter falls vorhanden allstromsensitiv (Typ B)</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Schaltschrank</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Rittal AX 1350.000, Stahlblech, B × H × T = 500 × 500 × 300 mm</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Aufstellung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Standfuß aus item-Aluminiumprofilen, Abstand zum Verladearm ca. 2–3 m</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Antriebsregelung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Frequenzumrichter SEW MOVITRAC</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Bedienung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Taster am Schaltschrank (Heben / Senken / Reset) und Hängetaster XAC-A2713 mit Not-Halt, Kabel ca. 8 m</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Sensorik Bewegung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2 Endlagensensoren am Drehgelenk (±45°), 1 induktiver Hindernissensor an der Lanze</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Sensorik Füllstand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Liquiphant und Ultraschallsensor</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Stromlaufplan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Simotec SIMO-100-2605-00099</w:t>
            </w:r>
          </w:p>
        </w:tc>
      </w:tr>
    </w:tbl>
    <w:p>
      <w:pPr>
        <w:pStyle w:val="Heading1"/>
        <w:keepNext/>
        <w:spacing w:after="140" w:before="280"/>
      </w:pPr>
      <w:r>
        <w:rPr>
          <w:rFonts w:ascii="Arial" w:cs="Arial" w:eastAsia="Arial" w:hAnsi="Arial"/>
          <w:b/>
          <w:bCs/>
          <w:sz w:val="26"/>
          <w:szCs w:val="26"/>
        </w:rPr>
        <w:t xml:space="preserve">3. AUFBAU UND FUNKTION</w:t>
      </w:r>
    </w:p>
    <w:p>
      <w:pPr>
        <w:spacing w:after="120"/>
      </w:pPr>
      <w:r>
        <w:rPr>
          <w:rFonts w:ascii="Arial" w:cs="Arial" w:eastAsia="Arial" w:hAnsi="Arial"/>
          <w:sz w:val="20"/>
          <w:szCs w:val="20"/>
        </w:rPr>
        <w:t xml:space="preserve">Der Obenverladearm bildet eine bewegliche Verbindung zwischen der stationären Produktleitung und dem zu befüllenden Behälter bzw. Fahrzeug. Die Beweglichkeit wird durch mehrere Drehgelenke ermöglicht. Das Heben und Senken des Arms erfolgt elektrisch über einen Schwenktrieb am Drehgelenk.</w:t>
      </w:r>
    </w:p>
    <w:p>
      <w:pPr>
        <w:keepNext/>
        <w:spacing w:after="80" w:before="140"/>
      </w:pPr>
      <w:r>
        <w:rPr>
          <w:rFonts w:ascii="Arial" w:cs="Arial" w:eastAsia="Arial" w:hAnsi="Arial"/>
          <w:b/>
          <w:bCs/>
          <w:sz w:val="20"/>
          <w:szCs w:val="20"/>
        </w:rPr>
        <w:t xml:space="preserve">Mechanik</w:t>
      </w:r>
    </w:p>
    <w:p>
      <w:pPr>
        <w:pStyle w:val="ListParagraph"/>
        <w:numPr>
          <w:ilvl w:val="0"/>
          <w:numId w:val="2"/>
        </w:numPr>
        <w:spacing w:after="60"/>
      </w:pPr>
      <w:r>
        <w:rPr>
          <w:rFonts w:ascii="Arial" w:cs="Arial" w:eastAsia="Arial" w:hAnsi="Arial"/>
          <w:sz w:val="20"/>
          <w:szCs w:val="20"/>
        </w:rPr>
        <w:t xml:space="preserve">Schwenktrieb mit Elektromotor RF47, 0,75 kW, 230/400 V, mit Haltebremse. Bei Stromausfall, Not-Halt oder Abschalten über den Hauptschalter bleibt der Arm in seiner Position stehen.</w:t>
      </w:r>
    </w:p>
    <w:p>
      <w:pPr>
        <w:pStyle w:val="ListParagraph"/>
        <w:numPr>
          <w:ilvl w:val="0"/>
          <w:numId w:val="2"/>
        </w:numPr>
        <w:spacing w:after="60"/>
      </w:pPr>
      <w:r>
        <w:rPr>
          <w:rFonts w:ascii="Arial" w:cs="Arial" w:eastAsia="Arial" w:hAnsi="Arial"/>
          <w:sz w:val="20"/>
          <w:szCs w:val="20"/>
        </w:rPr>
        <w:t xml:space="preserve">Mehrere 4"-Drehgelenke, einschließlich verstärkter Ausführungen.</w:t>
      </w:r>
    </w:p>
    <w:p>
      <w:pPr>
        <w:pStyle w:val="ListParagraph"/>
        <w:numPr>
          <w:ilvl w:val="0"/>
          <w:numId w:val="2"/>
        </w:numPr>
        <w:spacing w:after="60"/>
      </w:pPr>
      <w:r>
        <w:rPr>
          <w:rFonts w:ascii="Arial" w:cs="Arial" w:eastAsia="Arial" w:hAnsi="Arial"/>
          <w:sz w:val="20"/>
          <w:szCs w:val="20"/>
        </w:rPr>
        <w:t xml:space="preserve">Produktleitung DN 100 mit Einlass N1 und Auslass N2.</w:t>
      </w:r>
    </w:p>
    <w:p>
      <w:pPr>
        <w:pStyle w:val="ListParagraph"/>
        <w:numPr>
          <w:ilvl w:val="0"/>
          <w:numId w:val="2"/>
        </w:numPr>
        <w:spacing w:after="60"/>
      </w:pPr>
      <w:r>
        <w:rPr>
          <w:rFonts w:ascii="Arial" w:cs="Arial" w:eastAsia="Arial" w:hAnsi="Arial"/>
          <w:sz w:val="20"/>
          <w:szCs w:val="20"/>
        </w:rPr>
        <w:t xml:space="preserve">Füllstandsüberwachung mit Liquiphant sowie zusätzlicher Ultraschallsensorik.</w:t>
      </w:r>
    </w:p>
    <w:p>
      <w:pPr>
        <w:keepNext/>
        <w:spacing w:after="80" w:before="140"/>
      </w:pPr>
      <w:r>
        <w:rPr>
          <w:rFonts w:ascii="Arial" w:cs="Arial" w:eastAsia="Arial" w:hAnsi="Arial"/>
          <w:b/>
          <w:bCs/>
          <w:sz w:val="20"/>
          <w:szCs w:val="20"/>
        </w:rPr>
        <w:t xml:space="preserve">Steuerung und Sensorik</w:t>
      </w:r>
    </w:p>
    <w:p>
      <w:pPr>
        <w:spacing w:after="120"/>
      </w:pPr>
      <w:r>
        <w:rPr>
          <w:rFonts w:ascii="Arial" w:cs="Arial" w:eastAsia="Arial" w:hAnsi="Arial"/>
          <w:sz w:val="20"/>
          <w:szCs w:val="20"/>
        </w:rPr>
        <w:t xml:space="preserve">Die Steuerung ist in einem Schaltschrank auf einem Standfuß untergebracht. Sie umfasst:</w:t>
      </w:r>
    </w:p>
    <w:p>
      <w:pPr>
        <w:pStyle w:val="ListParagraph"/>
        <w:numPr>
          <w:ilvl w:val="0"/>
          <w:numId w:val="2"/>
        </w:numPr>
        <w:spacing w:after="60"/>
      </w:pPr>
      <w:r>
        <w:rPr>
          <w:rFonts w:ascii="Arial" w:cs="Arial" w:eastAsia="Arial" w:hAnsi="Arial"/>
          <w:b/>
          <w:bCs/>
          <w:sz w:val="20"/>
          <w:szCs w:val="20"/>
        </w:rPr>
        <w:t xml:space="preserve">Hauptschalter</w:t>
      </w:r>
      <w:r>
        <w:rPr>
          <w:rFonts w:ascii="Arial" w:cs="Arial" w:eastAsia="Arial" w:hAnsi="Arial"/>
          <w:sz w:val="20"/>
          <w:szCs w:val="20"/>
        </w:rPr>
        <w:t xml:space="preserve"> (rot/gelb) seitlich am Schaltschrank zum Ein- und Ausschalten der gesamten Anlage. Er dient am Schaltschrank zugleich als Not-Halt-Einrichtung.</w:t>
      </w:r>
    </w:p>
    <w:p>
      <w:pPr>
        <w:pStyle w:val="ListParagraph"/>
        <w:numPr>
          <w:ilvl w:val="0"/>
          <w:numId w:val="2"/>
        </w:numPr>
        <w:spacing w:after="60"/>
      </w:pPr>
      <w:r>
        <w:rPr>
          <w:rFonts w:ascii="Arial" w:cs="Arial" w:eastAsia="Arial" w:hAnsi="Arial"/>
          <w:b/>
          <w:bCs/>
          <w:sz w:val="20"/>
          <w:szCs w:val="20"/>
        </w:rPr>
        <w:t xml:space="preserve">Taster</w:t>
      </w:r>
      <w:r>
        <w:rPr>
          <w:rFonts w:ascii="Arial" w:cs="Arial" w:eastAsia="Arial" w:hAnsi="Arial"/>
          <w:sz w:val="20"/>
          <w:szCs w:val="20"/>
        </w:rPr>
        <w:t xml:space="preserve"> in der Schaltschranktür: Heben, Senken und Reset.</w:t>
      </w:r>
    </w:p>
    <w:p>
      <w:pPr>
        <w:pStyle w:val="ListParagraph"/>
        <w:numPr>
          <w:ilvl w:val="0"/>
          <w:numId w:val="2"/>
        </w:numPr>
        <w:spacing w:after="60"/>
      </w:pPr>
      <w:r>
        <w:rPr>
          <w:rFonts w:ascii="Arial" w:cs="Arial" w:eastAsia="Arial" w:hAnsi="Arial"/>
          <w:b/>
          <w:bCs/>
          <w:sz w:val="20"/>
          <w:szCs w:val="20"/>
        </w:rPr>
        <w:t xml:space="preserve">Hängetaster</w:t>
      </w:r>
      <w:r>
        <w:rPr>
          <w:rFonts w:ascii="Arial" w:cs="Arial" w:eastAsia="Arial" w:hAnsi="Arial"/>
          <w:sz w:val="20"/>
          <w:szCs w:val="20"/>
        </w:rPr>
        <w:t xml:space="preserve"> XAC-A2713 mit Not-Halt sowie Tipptastern Heben (↑) und Senken (↓), Kabellänge ca. 8 m.</w:t>
      </w:r>
    </w:p>
    <w:p>
      <w:pPr>
        <w:pStyle w:val="ListParagraph"/>
        <w:numPr>
          <w:ilvl w:val="0"/>
          <w:numId w:val="2"/>
        </w:numPr>
        <w:spacing w:after="60"/>
      </w:pPr>
      <w:r>
        <w:rPr>
          <w:rFonts w:ascii="Arial" w:cs="Arial" w:eastAsia="Arial" w:hAnsi="Arial"/>
          <w:b/>
          <w:bCs/>
          <w:sz w:val="20"/>
          <w:szCs w:val="20"/>
        </w:rPr>
        <w:t xml:space="preserve">Frequenzumrichter</w:t>
      </w:r>
      <w:r>
        <w:rPr>
          <w:rFonts w:ascii="Arial" w:cs="Arial" w:eastAsia="Arial" w:hAnsi="Arial"/>
          <w:sz w:val="20"/>
          <w:szCs w:val="20"/>
        </w:rPr>
        <w:t xml:space="preserve"> SEW MOVITRAC zur Ansteuerung des Antriebs; Not-Halt über Sicherheitsrelais.</w:t>
      </w:r>
    </w:p>
    <w:p>
      <w:pPr>
        <w:pStyle w:val="ListParagraph"/>
        <w:numPr>
          <w:ilvl w:val="0"/>
          <w:numId w:val="2"/>
        </w:numPr>
        <w:spacing w:after="60"/>
      </w:pPr>
      <w:r>
        <w:rPr>
          <w:rFonts w:ascii="Arial" w:cs="Arial" w:eastAsia="Arial" w:hAnsi="Arial"/>
          <w:b/>
          <w:bCs/>
          <w:sz w:val="20"/>
          <w:szCs w:val="20"/>
        </w:rPr>
        <w:t xml:space="preserve">Endlagensensoren:</w:t>
      </w:r>
      <w:r>
        <w:rPr>
          <w:rFonts w:ascii="Arial" w:cs="Arial" w:eastAsia="Arial" w:hAnsi="Arial"/>
          <w:sz w:val="20"/>
          <w:szCs w:val="20"/>
        </w:rPr>
        <w:t xml:space="preserve"> Zwei Sensoren am Drehgelenk begrenzen die Bewegung auf ±45° und schalten den Antrieb in der jeweiligen Endlage ab.</w:t>
      </w:r>
    </w:p>
    <w:p>
      <w:pPr>
        <w:pStyle w:val="ListParagraph"/>
        <w:numPr>
          <w:ilvl w:val="0"/>
          <w:numId w:val="2"/>
        </w:numPr>
        <w:spacing w:after="60"/>
      </w:pPr>
      <w:r>
        <w:rPr>
          <w:rFonts w:ascii="Arial" w:cs="Arial" w:eastAsia="Arial" w:hAnsi="Arial"/>
          <w:b/>
          <w:bCs/>
          <w:sz w:val="20"/>
          <w:szCs w:val="20"/>
        </w:rPr>
        <w:t xml:space="preserve">Hindernissensor:</w:t>
      </w:r>
      <w:r>
        <w:rPr>
          <w:rFonts w:ascii="Arial" w:cs="Arial" w:eastAsia="Arial" w:hAnsi="Arial"/>
          <w:sz w:val="20"/>
          <w:szCs w:val="20"/>
        </w:rPr>
        <w:t xml:space="preserve"> Ein induktiver Sensor an der Lanze erkennt metallische Hindernisse unterhalb der Lanze und stoppt die Abwärtsbewegung, sodass der Arm nicht auf Gegenstände aufgefahren werden kann.</w:t>
      </w:r>
    </w:p>
    <w:p>
      <w:pPr>
        <w:spacing w:after="120"/>
      </w:pPr>
      <w:r>
        <w:rPr>
          <w:rFonts w:ascii="Arial" w:cs="Arial" w:eastAsia="Arial" w:hAnsi="Arial"/>
          <w:sz w:val="20"/>
          <w:szCs w:val="20"/>
        </w:rPr>
        <w:t xml:space="preserve">Der Antrieb bewegt sich nur, solange ein Taster gedrückt ist (Tippbetrieb). Der Bewegungsbereich beim Heben und Senken beträgt ±45°. Der Verladearm hat eine Gesamtausladung von etwa 5,5 m.</w:t>
      </w:r>
    </w:p>
    <w:p>
      <w:pPr>
        <w:pStyle w:val="Heading1"/>
        <w:keepNext/>
        <w:spacing w:after="140" w:before="280"/>
      </w:pPr>
      <w:r>
        <w:rPr>
          <w:rFonts w:ascii="Arial" w:cs="Arial" w:eastAsia="Arial" w:hAnsi="Arial"/>
          <w:b/>
          <w:bCs/>
          <w:sz w:val="26"/>
          <w:szCs w:val="26"/>
        </w:rPr>
        <w:t xml:space="preserve">4. SICHERHEITSMASSNAHMEN</w:t>
      </w:r>
    </w:p>
    <w:p>
      <w:pPr>
        <w:pStyle w:val="Heading2"/>
        <w:keepNext/>
        <w:spacing w:after="100" w:before="200"/>
      </w:pPr>
      <w:r>
        <w:rPr>
          <w:rFonts w:ascii="Arial" w:cs="Arial" w:eastAsia="Arial" w:hAnsi="Arial"/>
          <w:b/>
          <w:bCs/>
          <w:sz w:val="22"/>
          <w:szCs w:val="22"/>
        </w:rPr>
        <w:t xml:space="preserve">4.1. Allgemein</w:t>
      </w:r>
    </w:p>
    <w:p>
      <w:pPr>
        <w:spacing w:after="120"/>
      </w:pPr>
      <w:r>
        <w:rPr>
          <w:rFonts w:ascii="Arial" w:cs="Arial" w:eastAsia="Arial" w:hAnsi="Arial"/>
          <w:sz w:val="20"/>
          <w:szCs w:val="20"/>
        </w:rPr>
        <w:t xml:space="preserve">Diese Bedienungsanleitung ist Teil des Lieferumfanges Ihrer Verladeeinrichtung.</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In der gesamten Bedienungsanleitung wird für die Bezeichnung „Verladeeinrichtung Oben-Verladearm“ nur der Begriff „Verladearm“ verwendet.</w:t>
      </w:r>
    </w:p>
    <w:p>
      <w:pPr>
        <w:spacing w:after="120"/>
      </w:pPr>
      <w:r>
        <w:rPr>
          <w:rFonts w:ascii="Arial" w:cs="Arial" w:eastAsia="Arial" w:hAnsi="Arial"/>
          <w:sz w:val="20"/>
          <w:szCs w:val="20"/>
        </w:rPr>
        <w:t xml:space="preserve">Die Bedienungsanleitung erklärt die Funktion, informiert über mögliche Gefahren während des Betriebes, enthält detaillierte Angaben zur vorgeschriebenen Bedienung und beschreibt die notwendigen Schritte zur Wartung und Fehlerbehebung.</w:t>
      </w:r>
    </w:p>
    <w:p>
      <w:pPr>
        <w:spacing w:after="120"/>
      </w:pPr>
      <w:r>
        <w:rPr>
          <w:rFonts w:ascii="Arial" w:cs="Arial" w:eastAsia="Arial" w:hAnsi="Arial"/>
          <w:sz w:val="20"/>
          <w:szCs w:val="20"/>
        </w:rPr>
        <w:t xml:space="preserve">Auch wenn Sie an einer Schulung zur Bedienung der Verladeeinrichtung teilgenommen haben, lesen Sie die Bedienungsanleitung bitte vollständig vor der Inbetriebnahme durch.</w:t>
      </w:r>
    </w:p>
    <w:p>
      <w:pPr>
        <w:pStyle w:val="Heading2"/>
        <w:keepNext/>
        <w:spacing w:after="100" w:before="200"/>
      </w:pPr>
      <w:r>
        <w:rPr>
          <w:rFonts w:ascii="Arial" w:cs="Arial" w:eastAsia="Arial" w:hAnsi="Arial"/>
          <w:b/>
          <w:bCs/>
          <w:sz w:val="22"/>
          <w:szCs w:val="22"/>
        </w:rPr>
        <w:t xml:space="preserve">4.2. Bestimmungsgemäße Verwendung</w:t>
      </w:r>
    </w:p>
    <w:p>
      <w:pPr>
        <w:spacing w:after="120"/>
      </w:pPr>
      <w:r>
        <w:rPr>
          <w:rFonts w:ascii="Arial" w:cs="Arial" w:eastAsia="Arial" w:hAnsi="Arial"/>
          <w:sz w:val="20"/>
          <w:szCs w:val="20"/>
        </w:rPr>
        <w:t xml:space="preserve">Die Verladeeinrichtung ist ein elektrisch betätigtes Verladesystem zur Be- und Entladung von Tankwagen, Kesselwagen und Containern von oben durch die vorgesehene Befüllöffnung.</w:t>
      </w:r>
    </w:p>
    <w:p>
      <w:pPr>
        <w:spacing w:after="120"/>
      </w:pPr>
      <w:r>
        <w:rPr>
          <w:rFonts w:ascii="Arial" w:cs="Arial" w:eastAsia="Arial" w:hAnsi="Arial"/>
          <w:sz w:val="20"/>
          <w:szCs w:val="20"/>
        </w:rPr>
        <w:t xml:space="preserve">Der Verladearm ist ausschließlich für das in den Auftragsunterlagen spezifizierte Medium und innerhalb der freigegebenen Betriebsdaten einzusetzen.</w:t>
      </w:r>
    </w:p>
    <w:p>
      <w:pPr>
        <w:spacing w:after="120"/>
      </w:pPr>
      <w:r>
        <w:rPr>
          <w:rFonts w:ascii="Arial" w:cs="Arial" w:eastAsia="Arial" w:hAnsi="Arial"/>
          <w:sz w:val="20"/>
          <w:szCs w:val="20"/>
        </w:rPr>
        <w:t xml:space="preserve">Zur bestimmungsgemäßen Verwendung gehören auch:</w:t>
      </w:r>
    </w:p>
    <w:p>
      <w:pPr>
        <w:pStyle w:val="ListParagraph"/>
        <w:numPr>
          <w:ilvl w:val="0"/>
          <w:numId w:val="2"/>
        </w:numPr>
        <w:spacing w:after="60"/>
      </w:pPr>
      <w:r>
        <w:rPr>
          <w:rFonts w:ascii="Arial" w:cs="Arial" w:eastAsia="Arial" w:hAnsi="Arial"/>
          <w:sz w:val="20"/>
          <w:szCs w:val="20"/>
        </w:rPr>
        <w:t xml:space="preserve">das Beachten aller Hinweise in der Bedienungsanleitung,</w:t>
      </w:r>
    </w:p>
    <w:p>
      <w:pPr>
        <w:pStyle w:val="ListParagraph"/>
        <w:numPr>
          <w:ilvl w:val="0"/>
          <w:numId w:val="2"/>
        </w:numPr>
        <w:spacing w:after="60"/>
      </w:pPr>
      <w:r>
        <w:rPr>
          <w:rFonts w:ascii="Arial" w:cs="Arial" w:eastAsia="Arial" w:hAnsi="Arial"/>
          <w:sz w:val="20"/>
          <w:szCs w:val="20"/>
        </w:rPr>
        <w:t xml:space="preserve">die Einhaltung der Inspektions- und Wartungsarbeiten.</w:t>
      </w:r>
    </w:p>
    <w:p>
      <w:pPr>
        <w:spacing w:after="120"/>
      </w:pPr>
      <w:r>
        <w:rPr>
          <w:rFonts w:ascii="Arial" w:cs="Arial" w:eastAsia="Arial" w:hAnsi="Arial"/>
          <w:sz w:val="20"/>
          <w:szCs w:val="20"/>
        </w:rPr>
        <w:t xml:space="preserve">Eine andere oder darüber hinausgehende Benutzung gilt als nicht bestimmungsgemäß. Für hieraus entstehende Schäden haftet die HETA Verfahrenstechnik GmbH nicht.</w:t>
      </w:r>
    </w:p>
    <w:p>
      <w:pPr>
        <w:pStyle w:val="Heading2"/>
        <w:keepNext/>
        <w:spacing w:after="100" w:before="200"/>
      </w:pPr>
      <w:r>
        <w:rPr>
          <w:rFonts w:ascii="Arial" w:cs="Arial" w:eastAsia="Arial" w:hAnsi="Arial"/>
          <w:b/>
          <w:bCs/>
          <w:sz w:val="22"/>
          <w:szCs w:val="22"/>
        </w:rPr>
        <w:t xml:space="preserve">4.3. Missbräuchliche Verwendung</w:t>
      </w:r>
    </w:p>
    <w:p>
      <w:pPr>
        <w:spacing w:after="120"/>
      </w:pPr>
      <w:r>
        <w:rPr>
          <w:rFonts w:ascii="Arial" w:cs="Arial" w:eastAsia="Arial" w:hAnsi="Arial"/>
          <w:sz w:val="20"/>
          <w:szCs w:val="20"/>
        </w:rPr>
        <w:t xml:space="preserve">Der Verladearm darf nicht zum Heben, Senken, Ziehen oder Abstützen fremder Geräte oder Personen verwendet werden. Die technischen Vorgaben dürfen nicht überschritten werden. Es dürfen ausschließlich die im Auftrag freigegebenen Medien verladen werden.</w:t>
      </w:r>
    </w:p>
    <w:p>
      <w:pPr>
        <w:pStyle w:val="Heading2"/>
        <w:keepNext/>
        <w:spacing w:after="100" w:before="200"/>
      </w:pPr>
      <w:r>
        <w:rPr>
          <w:rFonts w:ascii="Arial" w:cs="Arial" w:eastAsia="Arial" w:hAnsi="Arial"/>
          <w:b/>
          <w:bCs/>
          <w:sz w:val="22"/>
          <w:szCs w:val="22"/>
        </w:rPr>
        <w:t xml:space="preserve">4.4. Personal und Qualifikation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Tätigkeit</w:t>
            </w:r>
          </w:p>
        </w:tc>
        <w:tc>
          <w:tcPr>
            <w:tcW w:type="dxa" w:w="6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Qualifikation</w:t>
            </w:r>
          </w:p>
        </w:tc>
      </w:tr>
      <w:tr>
        <w:trPr>
          <w:cantSplit/>
          <w:tblHeader w:val="off"/>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Bedienung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Vom Betreiber unterwiesenes Bedienpersonal, das diese Anleitung gelesen und verstanden hat.</w:t>
            </w:r>
          </w:p>
        </w:tc>
      </w:tr>
      <w:tr>
        <w:trPr>
          <w:cantSplit/>
          <w:tblHeader w:val="off"/>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Montage, Inbetriebnahme, mechanische Arbeiten</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Fachpersonal mit Ausbildung in Mechanik/Anlagenbau.</w:t>
            </w:r>
          </w:p>
        </w:tc>
      </w:tr>
      <w:tr>
        <w:trPr>
          <w:cantSplit/>
          <w:tblHeader w:val="off"/>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Elektrische Arbeiten</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Elektrofachkraft nach DGUV Vorschrift 3 / DIN VDE 1000-10.</w:t>
            </w:r>
          </w:p>
        </w:tc>
      </w:tr>
      <w:tr>
        <w:trPr>
          <w:cantSplit/>
          <w:tblHeader w:val="off"/>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Wartung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Fachpersonal der HETA Verfahrenstechnik GmbH (siehe Kapitel 10).</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Der Betreiber hat die Zuständigkeiten festzulegen, das Personal regelmäßig zu unterweisen und die Unterweisung zu dokumentieren.</w:t>
      </w:r>
    </w:p>
    <w:p>
      <w:pPr>
        <w:pStyle w:val="Heading2"/>
        <w:keepNext/>
        <w:spacing w:after="100" w:before="200"/>
      </w:pPr>
      <w:r>
        <w:rPr>
          <w:rFonts w:ascii="Arial" w:cs="Arial" w:eastAsia="Arial" w:hAnsi="Arial"/>
          <w:b/>
          <w:bCs/>
          <w:sz w:val="22"/>
          <w:szCs w:val="22"/>
        </w:rPr>
        <w:t xml:space="preserve">4.5. Persönliche Schutzausrüstung</w:t>
      </w:r>
    </w:p>
    <w:p>
      <w:pPr>
        <w:spacing w:after="120"/>
      </w:pPr>
      <w:r>
        <w:rPr>
          <w:rFonts w:ascii="Arial" w:cs="Arial" w:eastAsia="Arial" w:hAnsi="Arial"/>
          <w:sz w:val="20"/>
          <w:szCs w:val="20"/>
        </w:rPr>
        <w:t xml:space="preserve">Beim Verladen sowie bei Montage- und Wartungsarbeiten ist mindestens folgende Schutzausrüstung zu tragen:</w:t>
      </w:r>
    </w:p>
    <w:p>
      <w:pPr>
        <w:pStyle w:val="ListParagraph"/>
        <w:numPr>
          <w:ilvl w:val="0"/>
          <w:numId w:val="2"/>
        </w:numPr>
        <w:spacing w:after="60"/>
      </w:pPr>
      <w:r>
        <w:rPr>
          <w:rFonts w:ascii="Arial" w:cs="Arial" w:eastAsia="Arial" w:hAnsi="Arial"/>
          <w:sz w:val="20"/>
          <w:szCs w:val="20"/>
        </w:rPr>
        <w:t xml:space="preserve">Sicherheitsschuhe,</w:t>
      </w:r>
    </w:p>
    <w:p>
      <w:pPr>
        <w:pStyle w:val="ListParagraph"/>
        <w:numPr>
          <w:ilvl w:val="0"/>
          <w:numId w:val="2"/>
        </w:numPr>
        <w:spacing w:after="60"/>
      </w:pPr>
      <w:r>
        <w:rPr>
          <w:rFonts w:ascii="Arial" w:cs="Arial" w:eastAsia="Arial" w:hAnsi="Arial"/>
          <w:sz w:val="20"/>
          <w:szCs w:val="20"/>
        </w:rPr>
        <w:t xml:space="preserve">Schutzhandschuhe, beständig gegen das Medium und – je nach Produkttemperatur – wärmeisolierend,</w:t>
      </w:r>
    </w:p>
    <w:p>
      <w:pPr>
        <w:pStyle w:val="ListParagraph"/>
        <w:numPr>
          <w:ilvl w:val="0"/>
          <w:numId w:val="2"/>
        </w:numPr>
        <w:spacing w:after="60"/>
      </w:pPr>
      <w:r>
        <w:rPr>
          <w:rFonts w:ascii="Arial" w:cs="Arial" w:eastAsia="Arial" w:hAnsi="Arial"/>
          <w:sz w:val="20"/>
          <w:szCs w:val="20"/>
        </w:rPr>
        <w:t xml:space="preserve">Schutzbrille bzw. Gesichtsschutz,</w:t>
      </w:r>
    </w:p>
    <w:p>
      <w:pPr>
        <w:pStyle w:val="ListParagraph"/>
        <w:numPr>
          <w:ilvl w:val="0"/>
          <w:numId w:val="2"/>
        </w:numPr>
        <w:spacing w:after="60"/>
      </w:pPr>
      <w:r>
        <w:rPr>
          <w:rFonts w:ascii="Arial" w:cs="Arial" w:eastAsia="Arial" w:hAnsi="Arial"/>
          <w:sz w:val="20"/>
          <w:szCs w:val="20"/>
        </w:rPr>
        <w:t xml:space="preserve">Arbeitsschutzkleidung gemäß Sicherheitsdatenblatt des Mediums.</w:t>
      </w:r>
    </w:p>
    <w:p>
      <w:pPr>
        <w:spacing w:after="120"/>
      </w:pPr>
      <w:r>
        <w:rPr>
          <w:rFonts w:ascii="Arial" w:cs="Arial" w:eastAsia="Arial" w:hAnsi="Arial"/>
          <w:sz w:val="20"/>
          <w:szCs w:val="20"/>
        </w:rPr>
        <w:t xml:space="preserve">Für Arbeiten auf dem Tankwagen gelten die Absturzsicherungsvorgaben des Betreibers.</w:t>
      </w:r>
    </w:p>
    <w:p>
      <w:pPr>
        <w:pStyle w:val="Heading2"/>
        <w:keepNext/>
        <w:spacing w:after="100" w:before="200"/>
      </w:pPr>
      <w:r>
        <w:rPr>
          <w:rFonts w:ascii="Arial" w:cs="Arial" w:eastAsia="Arial" w:hAnsi="Arial"/>
          <w:b/>
          <w:bCs/>
          <w:sz w:val="22"/>
          <w:szCs w:val="22"/>
        </w:rPr>
        <w:t xml:space="preserve">4.6. Restrisiken</w:t>
      </w:r>
    </w:p>
    <w:p>
      <w:pPr>
        <w:spacing w:after="120"/>
      </w:pPr>
      <w:r>
        <w:rPr>
          <w:rFonts w:ascii="Arial" w:cs="Arial" w:eastAsia="Arial" w:hAnsi="Arial"/>
          <w:sz w:val="20"/>
          <w:szCs w:val="20"/>
        </w:rPr>
        <w:t xml:space="preserve">Der Verladearm ist nach dem Stand der Technik gebaut. Folgende Restrisiken bestehen dennoch und werden durch die in dieser Anleitung genannten Maßnahmen beherrscht: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Gefährdung</w:t>
            </w:r>
          </w:p>
        </w:tc>
        <w:tc>
          <w:tcPr>
            <w:tcW w:type="dxa" w:w="6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Maßnahme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Quetschen, Scheren, Stoß durch den bewegten Arm</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Tippbetrieb, Not-Halt am Hängetaster, Hauptschalter als Not-Halt am Schaltschrank, Haltebremse, Bewegungsbereich frei halten, Bediener mit Sicht auf den Arm.</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Auffahren auf nichtmetallische Hindernisse oder Personen</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Hindernissensor erkennt nur Metall; Bereich unter der Lanze vor und während des Absenkens einsehen.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Elektrischer Schlag</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Arbeiten nur durch Elektrofachkraft, Freischalten, Restspannung am Frequenzumrichter (10 min) abwarten.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Produktaustritt, Kontakt mit dem Medium</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Dichtheit prüfen, Schutzausrüstung tragen, Sicherheitsdatenblatt beachten.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Heiße Oberflächen an der Produktleitung (je nach Produkttemperatur)</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Schutzhandschuhe tragen, Leitungen nicht ohne Schutz berühren.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Stolpern über Kabel</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Leitungen außerhalb der Verkehrswege verlegen, Hängetaster nach Gebrauch aufhängen.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Elektrostatische Aufladung</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Tankwagen vor dem Verladen nach Betreibervorschrift erden.</w:t>
            </w:r>
          </w:p>
        </w:tc>
      </w:tr>
    </w:tbl>
    <w:p>
      <w:pPr>
        <w:spacing w:after="120"/>
      </w:pPr>
      <w:r>
        <w:rPr>
          <w:rFonts w:ascii="Arial" w:cs="Arial" w:eastAsia="Arial" w:hAnsi="Arial"/>
          <w:sz w:val="20"/>
          <w:szCs w:val="20"/>
        </w:rPr>
        <w:t xml:space="preserve"/>
      </w:r>
    </w:p>
    <w:p>
      <w:pPr>
        <w:pStyle w:val="Heading2"/>
        <w:keepNext/>
        <w:spacing w:after="100" w:before="200"/>
      </w:pPr>
      <w:r>
        <w:rPr>
          <w:rFonts w:ascii="Arial" w:cs="Arial" w:eastAsia="Arial" w:hAnsi="Arial"/>
          <w:b/>
          <w:bCs/>
          <w:sz w:val="22"/>
          <w:szCs w:val="22"/>
        </w:rPr>
        <w:t xml:space="preserve">4.7. Schutzeinrichtungen und Kennzeichnung</w:t>
      </w:r>
    </w:p>
    <w:p>
      <w:pPr>
        <w:spacing w:after="120"/>
      </w:pPr>
      <w:r>
        <w:rPr>
          <w:rFonts w:ascii="Arial" w:cs="Arial" w:eastAsia="Arial" w:hAnsi="Arial"/>
          <w:sz w:val="20"/>
          <w:szCs w:val="20"/>
        </w:rPr>
        <w:t xml:space="preserve">Folgende Schutzeinrichtungen sind vorhanden und dürfen weder entfernt, überbrückt noch unwirksam gemacht werden:</w:t>
      </w:r>
    </w:p>
    <w:p>
      <w:pPr>
        <w:pStyle w:val="ListParagraph"/>
        <w:numPr>
          <w:ilvl w:val="0"/>
          <w:numId w:val="2"/>
        </w:numPr>
        <w:spacing w:after="60"/>
      </w:pPr>
      <w:r>
        <w:rPr>
          <w:rFonts w:ascii="Arial" w:cs="Arial" w:eastAsia="Arial" w:hAnsi="Arial"/>
          <w:sz w:val="20"/>
          <w:szCs w:val="20"/>
        </w:rPr>
        <w:t xml:space="preserve">Not-Halt am Hängetaster mit Sicherheitsrelais</w:t>
      </w:r>
    </w:p>
    <w:p>
      <w:pPr>
        <w:pStyle w:val="ListParagraph"/>
        <w:numPr>
          <w:ilvl w:val="0"/>
          <w:numId w:val="2"/>
        </w:numPr>
        <w:spacing w:after="60"/>
      </w:pPr>
      <w:r>
        <w:rPr>
          <w:rFonts w:ascii="Arial" w:cs="Arial" w:eastAsia="Arial" w:hAnsi="Arial"/>
          <w:sz w:val="20"/>
          <w:szCs w:val="20"/>
        </w:rPr>
        <w:t xml:space="preserve">Hauptschalter am Schaltschrank (rot/gelb), zugleich Not-Halt am Schaltschrank</w:t>
      </w:r>
    </w:p>
    <w:p>
      <w:pPr>
        <w:pStyle w:val="ListParagraph"/>
        <w:numPr>
          <w:ilvl w:val="0"/>
          <w:numId w:val="2"/>
        </w:numPr>
        <w:spacing w:after="60"/>
      </w:pPr>
      <w:r>
        <w:rPr>
          <w:rFonts w:ascii="Arial" w:cs="Arial" w:eastAsia="Arial" w:hAnsi="Arial"/>
          <w:sz w:val="20"/>
          <w:szCs w:val="20"/>
        </w:rPr>
        <w:t xml:space="preserve">Haltebremse am Antriebsmotor</w:t>
      </w:r>
    </w:p>
    <w:p>
      <w:pPr>
        <w:pStyle w:val="ListParagraph"/>
        <w:numPr>
          <w:ilvl w:val="0"/>
          <w:numId w:val="2"/>
        </w:numPr>
        <w:spacing w:after="60"/>
      </w:pPr>
      <w:r>
        <w:rPr>
          <w:rFonts w:ascii="Arial" w:cs="Arial" w:eastAsia="Arial" w:hAnsi="Arial"/>
          <w:sz w:val="20"/>
          <w:szCs w:val="20"/>
        </w:rPr>
        <w:t xml:space="preserve">Endlagensensoren am Drehgelenk (±45°)</w:t>
      </w:r>
    </w:p>
    <w:p>
      <w:pPr>
        <w:pStyle w:val="ListParagraph"/>
        <w:numPr>
          <w:ilvl w:val="0"/>
          <w:numId w:val="2"/>
        </w:numPr>
        <w:spacing w:after="60"/>
      </w:pPr>
      <w:r>
        <w:rPr>
          <w:rFonts w:ascii="Arial" w:cs="Arial" w:eastAsia="Arial" w:hAnsi="Arial"/>
          <w:sz w:val="20"/>
          <w:szCs w:val="20"/>
        </w:rPr>
        <w:t xml:space="preserve">Induktiver Hindernissensor an der Lanze</w:t>
      </w:r>
    </w:p>
    <w:p>
      <w:pPr>
        <w:pStyle w:val="ListParagraph"/>
        <w:numPr>
          <w:ilvl w:val="0"/>
          <w:numId w:val="2"/>
        </w:numPr>
        <w:spacing w:after="60"/>
      </w:pPr>
      <w:r>
        <w:rPr>
          <w:rFonts w:ascii="Arial" w:cs="Arial" w:eastAsia="Arial" w:hAnsi="Arial"/>
          <w:sz w:val="20"/>
          <w:szCs w:val="20"/>
        </w:rPr>
        <w:t xml:space="preserve">Tippbetrieb: Bewegung nur bei gedrückter Taste</w:t>
      </w:r>
    </w:p>
    <w:p>
      <w:pPr>
        <w:spacing w:after="120"/>
      </w:pPr>
      <w:r>
        <w:rPr>
          <w:rFonts w:ascii="Arial" w:cs="Arial" w:eastAsia="Arial" w:hAnsi="Arial"/>
          <w:sz w:val="20"/>
          <w:szCs w:val="20"/>
        </w:rPr>
        <w:t xml:space="preserve">Am Schaltschrank und am Verladearm angebrachte Warn- und Hinweisschilder sowie das Typenschild sind stets in lesbarem Zustand zu halten und bei Beschädigung zu ersetzen.</w:t>
      </w:r>
    </w:p>
    <w:p>
      <w:pPr>
        <w:pStyle w:val="Heading1"/>
        <w:keepNext/>
        <w:spacing w:after="140" w:before="280"/>
      </w:pPr>
      <w:r>
        <w:rPr>
          <w:rFonts w:ascii="Arial" w:cs="Arial" w:eastAsia="Arial" w:hAnsi="Arial"/>
          <w:b/>
          <w:bCs/>
          <w:sz w:val="26"/>
          <w:szCs w:val="26"/>
        </w:rPr>
        <w:t xml:space="preserve">5. ZUSÄTZLICHE SICHERHEITS- UND NOTFALLHINWEISE</w:t>
      </w:r>
    </w:p>
    <w:p>
      <w:pPr>
        <w:spacing w:after="120"/>
      </w:pPr>
      <w:r>
        <w:rPr>
          <w:rFonts w:ascii="Arial" w:cs="Arial" w:eastAsia="Arial" w:hAnsi="Arial"/>
          <w:sz w:val="20"/>
          <w:szCs w:val="20"/>
        </w:rPr>
        <w:t xml:space="preserve">Bewegte Teile können Quetsch-, Scher- und Stoßgefahren verursachen. Während einer Bewegung dürfen sich keine Personen im Bewegungsbereich des Arms befinden.</w:t>
      </w:r>
    </w:p>
    <w:p>
      <w:pPr>
        <w:keepNext/>
        <w:pBdr>
          <w:left w:val="single" w:color="C00000" w:sz="18" w:space="6"/>
        </w:pBdr>
        <w:shd w:fill="FBE5E5" w:color="auto" w:val="clear"/>
        <w:spacing w:after="30"/>
        <w:ind w:left="200"/>
      </w:pPr>
      <w:r>
        <w:rPr>
          <w:rFonts w:ascii="Arial" w:cs="Arial" w:eastAsia="Arial" w:hAnsi="Arial"/>
          <w:b/>
          <w:bCs/>
          <w:color w:val="C00000"/>
          <w:sz w:val="20"/>
          <w:szCs w:val="20"/>
        </w:rPr>
        <w:t xml:space="preserve">⚠ GEFAHR</w:t>
      </w:r>
    </w:p>
    <w:p>
      <w:pPr>
        <w:keepNext/>
        <w:pBdr>
          <w:left w:val="single" w:color="C00000" w:sz="18" w:space="6"/>
        </w:pBdr>
        <w:shd w:fill="FBE5E5" w:color="auto" w:val="clear"/>
        <w:spacing w:after="30"/>
        <w:ind w:left="200"/>
      </w:pPr>
      <w:r>
        <w:rPr>
          <w:rFonts w:ascii="Arial" w:cs="Arial" w:eastAsia="Arial" w:hAnsi="Arial"/>
          <w:b/>
          <w:bCs/>
          <w:sz w:val="20"/>
          <w:szCs w:val="20"/>
        </w:rPr>
        <w:t xml:space="preserve">Gefährliche elektrische Spannung im Schaltschrank</w:t>
      </w:r>
    </w:p>
    <w:p>
      <w:pPr>
        <w:keepNext/>
        <w:pBdr>
          <w:left w:val="single" w:color="C00000" w:sz="18" w:space="6"/>
        </w:pBdr>
        <w:shd w:fill="FBE5E5"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Tod oder schwere Verletzung durch elektrischen Schlag. Am Frequenzumrichter liegt nach dem Abschalten noch bis zu 10 Minuten gefährliche Spannung an.</w:t>
      </w:r>
    </w:p>
    <w:p>
      <w:pPr>
        <w:keepNext/>
        <w:pBdr>
          <w:left w:val="single" w:color="C00000" w:sz="18" w:space="6"/>
        </w:pBdr>
        <w:shd w:fill="FBE5E5" w:color="auto" w:val="clear"/>
        <w:spacing w:after="30"/>
        <w:ind w:left="200"/>
      </w:pPr>
      <w:r>
        <w:rPr>
          <w:rFonts w:ascii="Arial" w:cs="Arial" w:eastAsia="Arial" w:hAnsi="Arial"/>
          <w:sz w:val="20"/>
          <w:szCs w:val="20"/>
        </w:rPr>
        <w:t xml:space="preserve">→ Arbeiten am Schaltschrank nur durch Elektrofachkraft.</w:t>
      </w:r>
    </w:p>
    <w:p>
      <w:pPr>
        <w:keepNext/>
        <w:pBdr>
          <w:left w:val="single" w:color="C00000" w:sz="18" w:space="6"/>
        </w:pBdr>
        <w:shd w:fill="FBE5E5" w:color="auto" w:val="clear"/>
        <w:spacing w:after="30"/>
        <w:ind w:left="200"/>
      </w:pPr>
      <w:r>
        <w:rPr>
          <w:rFonts w:ascii="Arial" w:cs="Arial" w:eastAsia="Arial" w:hAnsi="Arial"/>
          <w:sz w:val="20"/>
          <w:szCs w:val="20"/>
        </w:rPr>
        <w:t xml:space="preserve">→ Hauptschalter auf „0“, CEE-Stecker ziehen, gegen Wiedereinschalten sichern.</w:t>
      </w:r>
    </w:p>
    <w:p>
      <w:pPr>
        <w:keepNext w:val="false"/>
        <w:pBdr>
          <w:left w:val="single" w:color="C00000" w:sz="18" w:space="6"/>
        </w:pBdr>
        <w:shd w:fill="FBE5E5" w:color="auto" w:val="clear"/>
        <w:spacing w:after="160"/>
        <w:ind w:left="200"/>
      </w:pPr>
      <w:r>
        <w:rPr>
          <w:rFonts w:ascii="Arial" w:cs="Arial" w:eastAsia="Arial" w:hAnsi="Arial"/>
          <w:sz w:val="20"/>
          <w:szCs w:val="20"/>
        </w:rPr>
        <w:t xml:space="preserve">→ Mindestens 10 Minuten warten und Spannungsfreiheit feststellen.</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Quetsch- und Stoßgefahr durch den bewegten Verladearm</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Schwere Verletzungen an Kopf, Händen und Körper.</w:t>
      </w:r>
    </w:p>
    <w:p>
      <w:pPr>
        <w:keepNext/>
        <w:pBdr>
          <w:left w:val="single" w:color="C55A11" w:sz="18" w:space="6"/>
        </w:pBdr>
        <w:shd w:fill="FCE9DA" w:color="auto" w:val="clear"/>
        <w:spacing w:after="30"/>
        <w:ind w:left="200"/>
      </w:pPr>
      <w:r>
        <w:rPr>
          <w:rFonts w:ascii="Arial" w:cs="Arial" w:eastAsia="Arial" w:hAnsi="Arial"/>
          <w:sz w:val="20"/>
          <w:szCs w:val="20"/>
        </w:rPr>
        <w:t xml:space="preserve">→ Vor jeder Bewegung sicherstellen, dass sich niemand im Bewegungsbereich befindet.</w:t>
      </w:r>
    </w:p>
    <w:p>
      <w:pPr>
        <w:keepNext/>
        <w:pBdr>
          <w:left w:val="single" w:color="C55A11" w:sz="18" w:space="6"/>
        </w:pBdr>
        <w:shd w:fill="FCE9DA" w:color="auto" w:val="clear"/>
        <w:spacing w:after="30"/>
        <w:ind w:left="200"/>
      </w:pPr>
      <w:r>
        <w:rPr>
          <w:rFonts w:ascii="Arial" w:cs="Arial" w:eastAsia="Arial" w:hAnsi="Arial"/>
          <w:sz w:val="20"/>
          <w:szCs w:val="20"/>
        </w:rPr>
        <w:t xml:space="preserve">→ Arm nur mit Sicht auf den Bewegungsbereich bewegen.</w:t>
      </w:r>
    </w:p>
    <w:p>
      <w:pPr>
        <w:keepNext w:val="false"/>
        <w:pBdr>
          <w:left w:val="single" w:color="C55A11" w:sz="18" w:space="6"/>
        </w:pBdr>
        <w:shd w:fill="FCE9DA" w:color="auto" w:val="clear"/>
        <w:spacing w:after="160"/>
        <w:ind w:left="200"/>
      </w:pPr>
      <w:r>
        <w:rPr>
          <w:rFonts w:ascii="Arial" w:cs="Arial" w:eastAsia="Arial" w:hAnsi="Arial"/>
          <w:sz w:val="20"/>
          <w:szCs w:val="20"/>
        </w:rPr>
        <w:t xml:space="preserve">→ Bei Gefahr sofort Not-Halt betätigen bzw. Hauptschalter auf „0“ stellen.</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Unbeabsichtigte Bewegung bei Wartungs-, Reparatur- oder Einstellarbeiten</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Schwere Verletzungen, Produktaustritt.</w:t>
      </w:r>
    </w:p>
    <w:p>
      <w:pPr>
        <w:keepNext/>
        <w:pBdr>
          <w:left w:val="single" w:color="C55A11" w:sz="18" w:space="6"/>
        </w:pBdr>
        <w:shd w:fill="FCE9DA" w:color="auto" w:val="clear"/>
        <w:spacing w:after="30"/>
        <w:ind w:left="200"/>
      </w:pPr>
      <w:r>
        <w:rPr>
          <w:rFonts w:ascii="Arial" w:cs="Arial" w:eastAsia="Arial" w:hAnsi="Arial"/>
          <w:sz w:val="20"/>
          <w:szCs w:val="20"/>
        </w:rPr>
        <w:t xml:space="preserve">→ Verladearm drucklos setzen, entleeren und mechanisch sichern.</w:t>
      </w:r>
    </w:p>
    <w:p>
      <w:pPr>
        <w:keepNext w:val="false"/>
        <w:pBdr>
          <w:left w:val="single" w:color="C55A11" w:sz="18" w:space="6"/>
        </w:pBdr>
        <w:shd w:fill="FCE9DA" w:color="auto" w:val="clear"/>
        <w:spacing w:after="160"/>
        <w:ind w:left="200"/>
      </w:pPr>
      <w:r>
        <w:rPr>
          <w:rFonts w:ascii="Arial" w:cs="Arial" w:eastAsia="Arial" w:hAnsi="Arial"/>
          <w:sz w:val="20"/>
          <w:szCs w:val="20"/>
        </w:rPr>
        <w:t xml:space="preserve">→ Anlage elektrisch freischalten und gegen Wiedereinschalten sichern.</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Hindernissensor erkennt nur metallische Gegenstände</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Der Arm kann auf Hindernisse aus Kunststoff, Holz oder anderen nichtmetallischen Werkstoffen sowie auf Personen auffahren. Schwere Verletzungen und Sachschäden.</w:t>
      </w:r>
    </w:p>
    <w:p>
      <w:pPr>
        <w:keepNext/>
        <w:pBdr>
          <w:left w:val="single" w:color="C55A11" w:sz="18" w:space="6"/>
        </w:pBdr>
        <w:shd w:fill="FCE9DA" w:color="auto" w:val="clear"/>
        <w:spacing w:after="30"/>
        <w:ind w:left="200"/>
      </w:pPr>
      <w:r>
        <w:rPr>
          <w:rFonts w:ascii="Arial" w:cs="Arial" w:eastAsia="Arial" w:hAnsi="Arial"/>
          <w:sz w:val="20"/>
          <w:szCs w:val="20"/>
        </w:rPr>
        <w:t xml:space="preserve">→ Bereich unter der Lanze vor und während des Absenkens selbst einsehen und frei halten.</w:t>
      </w:r>
    </w:p>
    <w:p>
      <w:pPr>
        <w:keepNext w:val="false"/>
        <w:pBdr>
          <w:left w:val="single" w:color="C55A11" w:sz="18" w:space="6"/>
        </w:pBdr>
        <w:shd w:fill="FCE9DA" w:color="auto" w:val="clear"/>
        <w:spacing w:after="160"/>
        <w:ind w:left="200"/>
      </w:pPr>
      <w:r>
        <w:rPr>
          <w:rFonts w:ascii="Arial" w:cs="Arial" w:eastAsia="Arial" w:hAnsi="Arial"/>
          <w:sz w:val="20"/>
          <w:szCs w:val="20"/>
        </w:rPr>
        <w:t xml:space="preserve">→ Hindernissensor nicht als alleinige Schutzmaßnahme ansehen.</w:t>
      </w:r>
    </w:p>
    <w:p>
      <w:pPr>
        <w:keepNext/>
        <w:pBdr>
          <w:left w:val="single" w:color="9C6500" w:sz="18" w:space="6"/>
        </w:pBdr>
        <w:shd w:fill="FFF4CC" w:color="auto" w:val="clear"/>
        <w:spacing w:after="30"/>
        <w:ind w:left="200"/>
      </w:pPr>
      <w:r>
        <w:rPr>
          <w:rFonts w:ascii="Arial" w:cs="Arial" w:eastAsia="Arial" w:hAnsi="Arial"/>
          <w:b/>
          <w:bCs/>
          <w:color w:val="9C6500"/>
          <w:sz w:val="20"/>
          <w:szCs w:val="20"/>
        </w:rPr>
        <w:t xml:space="preserve">⚠ VORSICHT</w:t>
      </w:r>
    </w:p>
    <w:p>
      <w:pPr>
        <w:keepNext/>
        <w:pBdr>
          <w:left w:val="single" w:color="9C6500" w:sz="18" w:space="6"/>
        </w:pBdr>
        <w:shd w:fill="FFF4CC" w:color="auto" w:val="clear"/>
        <w:spacing w:after="30"/>
        <w:ind w:left="200"/>
      </w:pPr>
      <w:r>
        <w:rPr>
          <w:rFonts w:ascii="Arial" w:cs="Arial" w:eastAsia="Arial" w:hAnsi="Arial"/>
          <w:b/>
          <w:bCs/>
          <w:sz w:val="20"/>
          <w:szCs w:val="20"/>
        </w:rPr>
        <w:t xml:space="preserve">Heiße Oberflächen und Kontakt mit dem Medium</w:t>
      </w:r>
    </w:p>
    <w:p>
      <w:pPr>
        <w:keepNext/>
        <w:pBdr>
          <w:left w:val="single" w:color="9C6500" w:sz="18" w:space="6"/>
        </w:pBdr>
        <w:shd w:fill="FFF4CC"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Verbrennungen, Haut- und Augenreizungen je nach Produkt und Produkttemperatur.</w:t>
      </w:r>
    </w:p>
    <w:p>
      <w:pPr>
        <w:keepNext/>
        <w:pBdr>
          <w:left w:val="single" w:color="9C6500" w:sz="18" w:space="6"/>
        </w:pBdr>
        <w:shd w:fill="FFF4CC" w:color="auto" w:val="clear"/>
        <w:spacing w:after="30"/>
        <w:ind w:left="200"/>
      </w:pPr>
      <w:r>
        <w:rPr>
          <w:rFonts w:ascii="Arial" w:cs="Arial" w:eastAsia="Arial" w:hAnsi="Arial"/>
          <w:sz w:val="20"/>
          <w:szCs w:val="20"/>
        </w:rPr>
        <w:t xml:space="preserve">→ Schutzhandschuhe und Schutzbrille tragen.</w:t>
      </w:r>
    </w:p>
    <w:p>
      <w:pPr>
        <w:keepNext w:val="false"/>
        <w:pBdr>
          <w:left w:val="single" w:color="9C6500" w:sz="18" w:space="6"/>
        </w:pBdr>
        <w:shd w:fill="FFF4CC" w:color="auto" w:val="clear"/>
        <w:spacing w:after="160"/>
        <w:ind w:left="200"/>
      </w:pPr>
      <w:r>
        <w:rPr>
          <w:rFonts w:ascii="Arial" w:cs="Arial" w:eastAsia="Arial" w:hAnsi="Arial"/>
          <w:sz w:val="20"/>
          <w:szCs w:val="20"/>
        </w:rPr>
        <w:t xml:space="preserve">→ Sicherheitsdatenblatt des Mediums beachten.</w:t>
      </w:r>
    </w:p>
    <w:p>
      <w:pPr>
        <w:pStyle w:val="ListParagraph"/>
        <w:numPr>
          <w:ilvl w:val="0"/>
          <w:numId w:val="2"/>
        </w:numPr>
        <w:spacing w:after="60"/>
      </w:pPr>
      <w:r>
        <w:rPr>
          <w:rFonts w:ascii="Arial" w:cs="Arial" w:eastAsia="Arial" w:hAnsi="Arial"/>
          <w:sz w:val="20"/>
          <w:szCs w:val="20"/>
        </w:rPr>
        <w:t xml:space="preserve">Bei Gefahr den Not-Halt am Hängetaster betätigen bzw. am Schaltschrank den Hauptschalter auf „0“ stellen. Der Antrieb wird sofort stillgesetzt, die Haltebremse hält den Arm in Position.</w:t>
      </w:r>
    </w:p>
    <w:p>
      <w:pPr>
        <w:pStyle w:val="ListParagraph"/>
        <w:numPr>
          <w:ilvl w:val="0"/>
          <w:numId w:val="2"/>
        </w:numPr>
        <w:spacing w:after="60"/>
      </w:pPr>
      <w:r>
        <w:rPr>
          <w:rFonts w:ascii="Arial" w:cs="Arial" w:eastAsia="Arial" w:hAnsi="Arial"/>
          <w:sz w:val="20"/>
          <w:szCs w:val="20"/>
        </w:rPr>
        <w:t xml:space="preserve">Nach einem Not-Halt erst die Ursache beseitigen. Anschließend den Not-Halt durch Drehen entriegeln und die Steuerung mit „Reset“ quittieren.</w:t>
      </w:r>
    </w:p>
    <w:p>
      <w:pPr>
        <w:pStyle w:val="ListParagraph"/>
        <w:numPr>
          <w:ilvl w:val="0"/>
          <w:numId w:val="2"/>
        </w:numPr>
        <w:spacing w:after="60"/>
      </w:pPr>
      <w:r>
        <w:rPr>
          <w:rFonts w:ascii="Arial" w:cs="Arial" w:eastAsia="Arial" w:hAnsi="Arial"/>
          <w:sz w:val="20"/>
          <w:szCs w:val="20"/>
        </w:rPr>
        <w:t xml:space="preserve">Bei Produktaustritt Verladevorgang sofort stoppen und Produktzufuhr absperren.</w:t>
      </w:r>
    </w:p>
    <w:p>
      <w:pPr>
        <w:pStyle w:val="ListParagraph"/>
        <w:numPr>
          <w:ilvl w:val="0"/>
          <w:numId w:val="2"/>
        </w:numPr>
        <w:spacing w:after="60"/>
      </w:pPr>
      <w:r>
        <w:rPr>
          <w:rFonts w:ascii="Arial" w:cs="Arial" w:eastAsia="Arial" w:hAnsi="Arial"/>
          <w:sz w:val="20"/>
          <w:szCs w:val="20"/>
        </w:rPr>
        <w:t xml:space="preserve">Elektrische Arbeiten dürfen ausschließlich von qualifiziertem Elektrofachpersonal durchgeführt werden.</w:t>
      </w:r>
    </w:p>
    <w:p>
      <w:pPr>
        <w:pStyle w:val="ListParagraph"/>
        <w:numPr>
          <w:ilvl w:val="0"/>
          <w:numId w:val="2"/>
        </w:numPr>
        <w:spacing w:after="60"/>
      </w:pPr>
      <w:r>
        <w:rPr>
          <w:rFonts w:ascii="Arial" w:cs="Arial" w:eastAsia="Arial" w:hAnsi="Arial"/>
          <w:sz w:val="20"/>
          <w:szCs w:val="20"/>
        </w:rPr>
        <w:t xml:space="preserve">Not-Halt-, Endlagen-, Hindernis- und Füllstandssignale dürfen nicht überbrückt, verstellt oder entfernt werden.</w:t>
      </w:r>
    </w:p>
    <w:p>
      <w:pPr>
        <w:pStyle w:val="ListParagraph"/>
        <w:numPr>
          <w:ilvl w:val="0"/>
          <w:numId w:val="2"/>
        </w:numPr>
        <w:spacing w:after="60"/>
      </w:pPr>
      <w:r>
        <w:rPr>
          <w:rFonts w:ascii="Arial" w:cs="Arial" w:eastAsia="Arial" w:hAnsi="Arial"/>
          <w:sz w:val="20"/>
          <w:szCs w:val="20"/>
        </w:rPr>
        <w:t xml:space="preserve">Änderungen an Arm, Antrieb, Sensorik oder Steuerung sind nur nach dokumentierter Freigabe zulässig.</w:t>
      </w:r>
    </w:p>
    <w:p>
      <w:pPr>
        <w:pStyle w:val="Heading1"/>
        <w:keepNext/>
        <w:spacing w:after="140" w:before="280"/>
      </w:pPr>
      <w:r>
        <w:rPr>
          <w:rFonts w:ascii="Arial" w:cs="Arial" w:eastAsia="Arial" w:hAnsi="Arial"/>
          <w:b/>
          <w:bCs/>
          <w:sz w:val="26"/>
          <w:szCs w:val="26"/>
        </w:rPr>
        <w:t xml:space="preserve">6. STÖRUNGEN UND ABHILFEMASSNAHMEN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Störung</w:t>
            </w:r>
          </w:p>
        </w:tc>
        <w:tc>
          <w:tcPr>
            <w:tcW w:type="dxa" w:w="6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Maßnahme</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Leckage</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Produktzufuhr stoppen, Anlage absperren und drucklos setzen. Nicht weiter betreiben.</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Antrieb bewegt nicht</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Keine Gewalt anwenden. Hauptschalter, Spannungsversorgung, Not-Halt, Motorschutz, Verriegelungen und Blockaden prüfen.</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Keine Bewegung nach Not-Halt</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Ursache beseitigen, Not-Halt entriegeln und „Reset“ betätigen.</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Arm fährt nicht mehr nach unten</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Hindernis unter der Lanze prüfen und entfernen. Bleibt die Störung bestehen, Hindernissensor auf Verschmutzung oder Beschädigung prüfen.</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Arm stoppt vor der erwarteten Position</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Endlagensensor prüfen. Arm nicht manuell über die Endlage hinaus bewegen.</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Fehleranzeige am Frequenzumrichter</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Fehlercode gemäß Betriebsanleitung SEW MOVITRAC auswerten, nur durch Elektrofachkraft.</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Geräusche oder ruckartige Bewegung</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Bewegung stoppen, Arm sichern und Schwenktrieb, Befestigungen sowie Drehgelenke prüfen.</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Füllstandssignal fehlerhaft</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Verladung nicht starten bzw. sofort stoppen. Sensorik und Signalkette prüfen.</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Stromausfall</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Der Arm bleibt durch die Haltebremse in Position. Produktzufuhr schließen. Wiederanlauf erst nach kontrollierter Anlagenfreigabe und Quittieren mit „Reset“.</w:t>
            </w:r>
          </w:p>
        </w:tc>
      </w:tr>
    </w:tbl>
    <w:p>
      <w:pPr>
        <w:pStyle w:val="Heading1"/>
        <w:keepNext/>
        <w:spacing w:after="140" w:before="280"/>
      </w:pPr>
      <w:r>
        <w:rPr>
          <w:rFonts w:ascii="Arial" w:cs="Arial" w:eastAsia="Arial" w:hAnsi="Arial"/>
          <w:b/>
          <w:bCs/>
          <w:sz w:val="26"/>
          <w:szCs w:val="26"/>
        </w:rPr>
        <w:t xml:space="preserve">7. MONTAGE UND EINBAU</w:t>
      </w:r>
    </w:p>
    <w:p>
      <w:pPr>
        <w:pStyle w:val="Heading2"/>
        <w:keepNext/>
        <w:spacing w:after="100" w:before="200"/>
      </w:pPr>
      <w:r>
        <w:rPr>
          <w:rFonts w:ascii="Arial" w:cs="Arial" w:eastAsia="Arial" w:hAnsi="Arial"/>
          <w:b/>
          <w:bCs/>
          <w:sz w:val="22"/>
          <w:szCs w:val="22"/>
        </w:rPr>
        <w:t xml:space="preserve">7.1. Erste Schritte</w:t>
      </w:r>
    </w:p>
    <w:p>
      <w:pPr>
        <w:keepNext/>
        <w:spacing w:after="80" w:before="140"/>
      </w:pPr>
      <w:r>
        <w:rPr>
          <w:rFonts w:ascii="Arial" w:cs="Arial" w:eastAsia="Arial" w:hAnsi="Arial"/>
          <w:b/>
          <w:bCs/>
          <w:sz w:val="20"/>
          <w:szCs w:val="20"/>
        </w:rPr>
        <w:t xml:space="preserve">Transport und Lagerung</w:t>
      </w:r>
    </w:p>
    <w:p>
      <w:pPr>
        <w:pStyle w:val="ListParagraph"/>
        <w:numPr>
          <w:ilvl w:val="0"/>
          <w:numId w:val="2"/>
        </w:numPr>
        <w:spacing w:after="60"/>
      </w:pPr>
      <w:r>
        <w:rPr>
          <w:rFonts w:ascii="Arial" w:cs="Arial" w:eastAsia="Arial" w:hAnsi="Arial"/>
          <w:sz w:val="20"/>
          <w:szCs w:val="20"/>
        </w:rPr>
        <w:t xml:space="preserve">Verladearm und Schaltschrank nur in der Originalverpackung bzw. gesichert transportieren.</w:t>
      </w:r>
    </w:p>
    <w:p>
      <w:pPr>
        <w:pStyle w:val="ListParagraph"/>
        <w:numPr>
          <w:ilvl w:val="0"/>
          <w:numId w:val="2"/>
        </w:numPr>
        <w:spacing w:after="60"/>
      </w:pPr>
      <w:r>
        <w:rPr>
          <w:rFonts w:ascii="Arial" w:cs="Arial" w:eastAsia="Arial" w:hAnsi="Arial"/>
          <w:sz w:val="20"/>
          <w:szCs w:val="20"/>
        </w:rPr>
        <w:t xml:space="preserve">Lieferung bei Eingang auf Transportschäden und Vollständigkeit prüfen; Schäden sofort dem Spediteur und HETA melden.</w:t>
      </w:r>
    </w:p>
    <w:p>
      <w:pPr>
        <w:pStyle w:val="ListParagraph"/>
        <w:numPr>
          <w:ilvl w:val="0"/>
          <w:numId w:val="2"/>
        </w:numPr>
        <w:spacing w:after="60"/>
      </w:pPr>
      <w:r>
        <w:rPr>
          <w:rFonts w:ascii="Arial" w:cs="Arial" w:eastAsia="Arial" w:hAnsi="Arial"/>
          <w:sz w:val="20"/>
          <w:szCs w:val="20"/>
        </w:rPr>
        <w:t xml:space="preserve">Trocken, frostfrei und geschützt vor Verschmutzung lagern. Verschlusskappen an den Anschlüssen belassen.</w:t>
      </w:r>
    </w:p>
    <w:p>
      <w:pPr>
        <w:pStyle w:val="ListParagraph"/>
        <w:numPr>
          <w:ilvl w:val="0"/>
          <w:numId w:val="2"/>
        </w:numPr>
        <w:spacing w:after="60"/>
      </w:pPr>
      <w:r>
        <w:rPr>
          <w:rFonts w:ascii="Arial" w:cs="Arial" w:eastAsia="Arial" w:hAnsi="Arial"/>
          <w:sz w:val="20"/>
          <w:szCs w:val="20"/>
        </w:rPr>
        <w:t xml:space="preserve">Schaltschrank nicht stürzen und vor Feuchtigkeit schützen.</w:t>
      </w:r>
    </w:p>
    <w:p>
      <w:pPr>
        <w:keepNext/>
        <w:spacing w:after="80" w:before="140"/>
      </w:pPr>
      <w:r>
        <w:rPr>
          <w:rFonts w:ascii="Arial" w:cs="Arial" w:eastAsia="Arial" w:hAnsi="Arial"/>
          <w:b/>
          <w:bCs/>
          <w:sz w:val="20"/>
          <w:szCs w:val="20"/>
        </w:rPr>
        <w:t xml:space="preserve">Führen Sie folgende Schritte aus:</w:t>
      </w:r>
    </w:p>
    <w:p>
      <w:pPr>
        <w:pStyle w:val="ListParagraph"/>
        <w:numPr>
          <w:ilvl w:val="0"/>
          <w:numId w:val="2"/>
        </w:numPr>
        <w:spacing w:after="60"/>
      </w:pPr>
      <w:r>
        <w:rPr>
          <w:rFonts w:ascii="Arial" w:cs="Arial" w:eastAsia="Arial" w:hAnsi="Arial"/>
          <w:sz w:val="20"/>
          <w:szCs w:val="20"/>
        </w:rPr>
        <w:t xml:space="preserve">Entfernen Sie das Verpackungsmaterial nur so weit wie nötig, um die Montage ohne Behinderung ausführen zu können.</w:t>
      </w:r>
    </w:p>
    <w:p>
      <w:pPr>
        <w:pStyle w:val="ListParagraph"/>
        <w:numPr>
          <w:ilvl w:val="0"/>
          <w:numId w:val="2"/>
        </w:numPr>
        <w:spacing w:after="60"/>
      </w:pPr>
      <w:r>
        <w:rPr>
          <w:rFonts w:ascii="Arial" w:cs="Arial" w:eastAsia="Arial" w:hAnsi="Arial"/>
          <w:sz w:val="20"/>
          <w:szCs w:val="20"/>
        </w:rPr>
        <w:t xml:space="preserve">Überprüfen Sie die Anschlussmaße der Grundplatte für die Tragsäule, soweit vorhanden.</w:t>
      </w:r>
    </w:p>
    <w:p>
      <w:pPr>
        <w:pStyle w:val="ListParagraph"/>
        <w:numPr>
          <w:ilvl w:val="0"/>
          <w:numId w:val="2"/>
        </w:numPr>
        <w:spacing w:after="60"/>
      </w:pPr>
      <w:r>
        <w:rPr>
          <w:rFonts w:ascii="Arial" w:cs="Arial" w:eastAsia="Arial" w:hAnsi="Arial"/>
          <w:sz w:val="20"/>
          <w:szCs w:val="20"/>
        </w:rPr>
        <w:t xml:space="preserve">Überprüfen Sie die Anschlussmaße der Anschlussleitung.</w:t>
      </w:r>
    </w:p>
    <w:p>
      <w:pPr>
        <w:pStyle w:val="ListParagraph"/>
        <w:numPr>
          <w:ilvl w:val="0"/>
          <w:numId w:val="2"/>
        </w:numPr>
        <w:spacing w:after="60"/>
      </w:pPr>
      <w:r>
        <w:rPr>
          <w:rFonts w:ascii="Arial" w:cs="Arial" w:eastAsia="Arial" w:hAnsi="Arial"/>
          <w:sz w:val="20"/>
          <w:szCs w:val="20"/>
        </w:rPr>
        <w:t xml:space="preserve">Prüfen Sie die Lochgrößen und Lochabstände mit den Angaben in der Zeichnung.</w:t>
      </w:r>
    </w:p>
    <w:p>
      <w:pPr>
        <w:pStyle w:val="ListParagraph"/>
        <w:numPr>
          <w:ilvl w:val="0"/>
          <w:numId w:val="2"/>
        </w:numPr>
        <w:spacing w:after="60"/>
      </w:pPr>
      <w:r>
        <w:rPr>
          <w:rFonts w:ascii="Arial" w:cs="Arial" w:eastAsia="Arial" w:hAnsi="Arial"/>
          <w:sz w:val="20"/>
          <w:szCs w:val="20"/>
        </w:rPr>
        <w:t xml:space="preserve">Vergewissern Sie sich, dass das kundenseitige Rohrleitungssystem sorgfältig gereinigt und gespült wurde.</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Das Spülen der Anlage darf auf gar keinen Fall durch den Verladearm erfolgen, da dies sofort zu Schmutzrückständen an den Abdichtungen der Drehgelenke und deren Zerstörung führen würde.</w:t>
      </w:r>
    </w:p>
    <w:p>
      <w:pPr>
        <w:pStyle w:val="Heading2"/>
        <w:keepNext/>
        <w:spacing w:after="100" w:before="200"/>
      </w:pPr>
      <w:r>
        <w:rPr>
          <w:rFonts w:ascii="Arial" w:cs="Arial" w:eastAsia="Arial" w:hAnsi="Arial"/>
          <w:b/>
          <w:bCs/>
          <w:sz w:val="22"/>
          <w:szCs w:val="22"/>
        </w:rPr>
        <w:t xml:space="preserve">7.2. Einbau</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Verschlusskappen an den Leitungen erst unmittelbar vor dem Anschließen entfernen.</w:t>
      </w:r>
    </w:p>
    <w:p>
      <w:pPr>
        <w:keepNext/>
        <w:spacing w:after="80" w:before="140"/>
      </w:pPr>
      <w:r>
        <w:rPr>
          <w:rFonts w:ascii="Arial" w:cs="Arial" w:eastAsia="Arial" w:hAnsi="Arial"/>
          <w:b/>
          <w:bCs/>
          <w:sz w:val="20"/>
          <w:szCs w:val="20"/>
        </w:rPr>
        <w:t xml:space="preserve">Verladearm aus der Verpackung herausheben</w:t>
      </w:r>
    </w:p>
    <w:p>
      <w:pPr>
        <w:pStyle w:val="ListParagraph"/>
        <w:numPr>
          <w:ilvl w:val="0"/>
          <w:numId w:val="2"/>
        </w:numPr>
        <w:spacing w:after="60"/>
      </w:pPr>
      <w:r>
        <w:rPr>
          <w:rFonts w:ascii="Arial" w:cs="Arial" w:eastAsia="Arial" w:hAnsi="Arial"/>
          <w:sz w:val="20"/>
          <w:szCs w:val="20"/>
        </w:rPr>
        <w:t xml:space="preserve">Verzurren Sie den Verladearm mit Spanngurten.</w:t>
      </w:r>
    </w:p>
    <w:p>
      <w:pPr>
        <w:pStyle w:val="ListParagraph"/>
        <w:numPr>
          <w:ilvl w:val="1"/>
          <w:numId w:val="2"/>
        </w:numPr>
        <w:spacing w:after="40"/>
      </w:pPr>
      <w:r>
        <w:rPr>
          <w:rFonts w:ascii="Arial" w:cs="Arial" w:eastAsia="Arial" w:hAnsi="Arial"/>
          <w:i/>
          <w:iCs/>
          <w:sz w:val="20"/>
          <w:szCs w:val="20"/>
        </w:rPr>
        <w:t xml:space="preserve">Der Verladearm ist gegen Auseinanderfalten gesichert.</w:t>
      </w:r>
    </w:p>
    <w:p>
      <w:pPr>
        <w:pStyle w:val="ListParagraph"/>
        <w:numPr>
          <w:ilvl w:val="0"/>
          <w:numId w:val="2"/>
        </w:numPr>
        <w:spacing w:after="60"/>
      </w:pPr>
      <w:r>
        <w:rPr>
          <w:rFonts w:ascii="Arial" w:cs="Arial" w:eastAsia="Arial" w:hAnsi="Arial"/>
          <w:sz w:val="20"/>
          <w:szCs w:val="20"/>
        </w:rPr>
        <w:t xml:space="preserve">Bringen Sie das Hebezeug am Verladearm an.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Beachten Sie das Gewicht und den Schwerpunkt des Verladearms.</w:t>
      </w:r>
    </w:p>
    <w:p>
      <w:pPr>
        <w:pStyle w:val="ListParagraph"/>
        <w:numPr>
          <w:ilvl w:val="1"/>
          <w:numId w:val="2"/>
        </w:numPr>
        <w:spacing w:after="40"/>
      </w:pPr>
      <w:r>
        <w:rPr>
          <w:rFonts w:ascii="Arial" w:cs="Arial" w:eastAsia="Arial" w:hAnsi="Arial"/>
          <w:i/>
          <w:iCs/>
          <w:sz w:val="20"/>
          <w:szCs w:val="20"/>
        </w:rPr>
        <w:t xml:space="preserve">Das Hebezeug ist so anzuschlagen, dass der Verladearm waagerecht hängt.</w:t>
      </w:r>
    </w:p>
    <w:p>
      <w:pPr>
        <w:pStyle w:val="ListParagraph"/>
        <w:numPr>
          <w:ilvl w:val="0"/>
          <w:numId w:val="2"/>
        </w:numPr>
        <w:spacing w:after="60"/>
      </w:pPr>
      <w:r>
        <w:rPr>
          <w:rFonts w:ascii="Arial" w:cs="Arial" w:eastAsia="Arial" w:hAnsi="Arial"/>
          <w:sz w:val="20"/>
          <w:szCs w:val="20"/>
        </w:rPr>
        <w:t xml:space="preserve">Heben Sie den Verladearm vorsichtig an.</w:t>
      </w:r>
    </w:p>
    <w:p>
      <w:pPr>
        <w:keepNext/>
        <w:spacing w:after="80" w:before="140"/>
      </w:pPr>
      <w:r>
        <w:rPr>
          <w:rFonts w:ascii="Arial" w:cs="Arial" w:eastAsia="Arial" w:hAnsi="Arial"/>
          <w:b/>
          <w:bCs/>
          <w:sz w:val="20"/>
          <w:szCs w:val="20"/>
        </w:rPr>
        <w:t xml:space="preserve">Verladearm montieren</w:t>
      </w:r>
    </w:p>
    <w:p>
      <w:pPr>
        <w:pStyle w:val="ListParagraph"/>
        <w:numPr>
          <w:ilvl w:val="0"/>
          <w:numId w:val="2"/>
        </w:numPr>
        <w:spacing w:after="60"/>
      </w:pPr>
      <w:r>
        <w:rPr>
          <w:rFonts w:ascii="Arial" w:cs="Arial" w:eastAsia="Arial" w:hAnsi="Arial"/>
          <w:sz w:val="20"/>
          <w:szCs w:val="20"/>
        </w:rPr>
        <w:t xml:space="preserve">Heben Sie den Verladearm in Montageposition.</w:t>
      </w:r>
    </w:p>
    <w:p>
      <w:pPr>
        <w:pStyle w:val="ListParagraph"/>
        <w:numPr>
          <w:ilvl w:val="0"/>
          <w:numId w:val="2"/>
        </w:numPr>
        <w:spacing w:after="60"/>
      </w:pPr>
      <w:r>
        <w:rPr>
          <w:rFonts w:ascii="Arial" w:cs="Arial" w:eastAsia="Arial" w:hAnsi="Arial"/>
          <w:sz w:val="20"/>
          <w:szCs w:val="20"/>
        </w:rPr>
        <w:t xml:space="preserve">Befestigen Sie den Verladearm.</w:t>
      </w:r>
    </w:p>
    <w:p>
      <w:pPr>
        <w:pStyle w:val="ListParagraph"/>
        <w:numPr>
          <w:ilvl w:val="0"/>
          <w:numId w:val="2"/>
        </w:numPr>
        <w:spacing w:after="60"/>
      </w:pPr>
      <w:r>
        <w:rPr>
          <w:rFonts w:ascii="Arial" w:cs="Arial" w:eastAsia="Arial" w:hAnsi="Arial"/>
          <w:sz w:val="20"/>
          <w:szCs w:val="20"/>
        </w:rPr>
        <w:t xml:space="preserve">Lösen Sie die Spanngurte.</w:t>
      </w:r>
    </w:p>
    <w:p>
      <w:pPr>
        <w:pStyle w:val="ListParagraph"/>
        <w:numPr>
          <w:ilvl w:val="0"/>
          <w:numId w:val="2"/>
        </w:numPr>
        <w:spacing w:after="60"/>
      </w:pPr>
      <w:r>
        <w:rPr>
          <w:rFonts w:ascii="Arial" w:cs="Arial" w:eastAsia="Arial" w:hAnsi="Arial"/>
          <w:sz w:val="20"/>
          <w:szCs w:val="20"/>
        </w:rPr>
        <w:t xml:space="preserve">Ziehen Sie den Verladearm auseinander.</w:t>
      </w:r>
    </w:p>
    <w:p>
      <w:pPr>
        <w:pStyle w:val="ListParagraph"/>
        <w:numPr>
          <w:ilvl w:val="0"/>
          <w:numId w:val="2"/>
        </w:numPr>
        <w:spacing w:after="60"/>
      </w:pPr>
      <w:r>
        <w:rPr>
          <w:rFonts w:ascii="Arial" w:cs="Arial" w:eastAsia="Arial" w:hAnsi="Arial"/>
          <w:sz w:val="20"/>
          <w:szCs w:val="20"/>
        </w:rPr>
        <w:t xml:space="preserve">Schwenken Sie den Verladearm aus der Mitte 90° nach rechts.</w:t>
      </w:r>
    </w:p>
    <w:p>
      <w:pPr>
        <w:pStyle w:val="ListParagraph"/>
        <w:numPr>
          <w:ilvl w:val="0"/>
          <w:numId w:val="2"/>
        </w:numPr>
        <w:spacing w:after="60"/>
      </w:pPr>
      <w:r>
        <w:rPr>
          <w:rFonts w:ascii="Arial" w:cs="Arial" w:eastAsia="Arial" w:hAnsi="Arial"/>
          <w:sz w:val="20"/>
          <w:szCs w:val="20"/>
        </w:rPr>
        <w:t xml:space="preserve">Prüfen Sie mit einer Wasserwaage am Einlassstutzen die Befestigungsposition.</w:t>
      </w:r>
    </w:p>
    <w:p>
      <w:pPr>
        <w:pStyle w:val="ListParagraph"/>
        <w:numPr>
          <w:ilvl w:val="1"/>
          <w:numId w:val="2"/>
        </w:numPr>
        <w:spacing w:after="40"/>
      </w:pPr>
      <w:r>
        <w:rPr>
          <w:rFonts w:ascii="Arial" w:cs="Arial" w:eastAsia="Arial" w:hAnsi="Arial"/>
          <w:i/>
          <w:iCs/>
          <w:sz w:val="20"/>
          <w:szCs w:val="20"/>
        </w:rPr>
        <w:t xml:space="preserve">Die Position ist senkrecht.</w:t>
      </w:r>
    </w:p>
    <w:p>
      <w:pPr>
        <w:pStyle w:val="ListParagraph"/>
        <w:numPr>
          <w:ilvl w:val="0"/>
          <w:numId w:val="2"/>
        </w:numPr>
        <w:spacing w:after="60"/>
      </w:pPr>
      <w:r>
        <w:rPr>
          <w:rFonts w:ascii="Arial" w:cs="Arial" w:eastAsia="Arial" w:hAnsi="Arial"/>
          <w:sz w:val="20"/>
          <w:szCs w:val="20"/>
        </w:rPr>
        <w:t xml:space="preserve">Schwenken Sie den Verladearm aus der Mitte 90° nach links.</w:t>
      </w:r>
    </w:p>
    <w:p>
      <w:pPr>
        <w:pStyle w:val="ListParagraph"/>
        <w:numPr>
          <w:ilvl w:val="0"/>
          <w:numId w:val="2"/>
        </w:numPr>
        <w:spacing w:after="60"/>
      </w:pPr>
      <w:r>
        <w:rPr>
          <w:rFonts w:ascii="Arial" w:cs="Arial" w:eastAsia="Arial" w:hAnsi="Arial"/>
          <w:sz w:val="20"/>
          <w:szCs w:val="20"/>
        </w:rPr>
        <w:t xml:space="preserve">Prüfen Sie mit einer Wasserwaage die Befestigungsposition.</w:t>
      </w:r>
    </w:p>
    <w:p>
      <w:pPr>
        <w:pStyle w:val="ListParagraph"/>
        <w:numPr>
          <w:ilvl w:val="1"/>
          <w:numId w:val="2"/>
        </w:numPr>
        <w:spacing w:after="40"/>
      </w:pPr>
      <w:r>
        <w:rPr>
          <w:rFonts w:ascii="Arial" w:cs="Arial" w:eastAsia="Arial" w:hAnsi="Arial"/>
          <w:i/>
          <w:iCs/>
          <w:sz w:val="20"/>
          <w:szCs w:val="20"/>
        </w:rPr>
        <w:t xml:space="preserve">Die Position ist senkrecht.</w:t>
      </w:r>
    </w:p>
    <w:p>
      <w:pPr>
        <w:pStyle w:val="ListParagraph"/>
        <w:numPr>
          <w:ilvl w:val="0"/>
          <w:numId w:val="2"/>
        </w:numPr>
        <w:spacing w:after="60"/>
      </w:pPr>
      <w:r>
        <w:rPr>
          <w:rFonts w:ascii="Arial" w:cs="Arial" w:eastAsia="Arial" w:hAnsi="Arial"/>
          <w:sz w:val="20"/>
          <w:szCs w:val="20"/>
        </w:rPr>
        <w:t xml:space="preserve">Schwenken Sie den Verladearm in die Mitte.</w:t>
      </w:r>
    </w:p>
    <w:p>
      <w:pPr>
        <w:pStyle w:val="ListParagraph"/>
        <w:numPr>
          <w:ilvl w:val="0"/>
          <w:numId w:val="2"/>
        </w:numPr>
        <w:spacing w:after="60"/>
      </w:pPr>
      <w:r>
        <w:rPr>
          <w:rFonts w:ascii="Arial" w:cs="Arial" w:eastAsia="Arial" w:hAnsi="Arial"/>
          <w:sz w:val="20"/>
          <w:szCs w:val="20"/>
        </w:rPr>
        <w:t xml:space="preserve">Prüfen Sie mit einer Wasserwaage die Befestigungsposition.</w:t>
      </w:r>
    </w:p>
    <w:p>
      <w:pPr>
        <w:pStyle w:val="ListParagraph"/>
        <w:numPr>
          <w:ilvl w:val="1"/>
          <w:numId w:val="2"/>
        </w:numPr>
        <w:spacing w:after="40"/>
      </w:pPr>
      <w:r>
        <w:rPr>
          <w:rFonts w:ascii="Arial" w:cs="Arial" w:eastAsia="Arial" w:hAnsi="Arial"/>
          <w:i/>
          <w:iCs/>
          <w:sz w:val="20"/>
          <w:szCs w:val="20"/>
        </w:rPr>
        <w:t xml:space="preserve">Die Position ist senkrecht.</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Sollte die Mittenposition nicht senkrecht sein, bringen Sie den Verladearm durch Unterlegen von Scheiben zwischen Grundplatte und Tragsäule in eine senkrechte Lage, um ein eigenständiges Schwenken des Verladearms zu vermeiden. Der Verladearm muss in jeder Position schwenkbar sein.</w:t>
      </w:r>
    </w:p>
    <w:p>
      <w:pPr>
        <w:keepNext/>
        <w:spacing w:after="80" w:before="140"/>
      </w:pPr>
      <w:r>
        <w:rPr>
          <w:rFonts w:ascii="Arial" w:cs="Arial" w:eastAsia="Arial" w:hAnsi="Arial"/>
          <w:b/>
          <w:bCs/>
          <w:sz w:val="20"/>
          <w:szCs w:val="20"/>
        </w:rPr>
        <w:t xml:space="preserve">Rohrleitungen montieren</w:t>
      </w:r>
    </w:p>
    <w:p>
      <w:pPr>
        <w:pStyle w:val="ListParagraph"/>
        <w:numPr>
          <w:ilvl w:val="0"/>
          <w:numId w:val="2"/>
        </w:numPr>
        <w:spacing w:after="60"/>
      </w:pPr>
      <w:r>
        <w:rPr>
          <w:rFonts w:ascii="Arial" w:cs="Arial" w:eastAsia="Arial" w:hAnsi="Arial"/>
          <w:sz w:val="20"/>
          <w:szCs w:val="20"/>
        </w:rPr>
        <w:t xml:space="preserve">Ziehen Sie den Verladearm auseinander.</w:t>
      </w:r>
    </w:p>
    <w:p>
      <w:pPr>
        <w:pStyle w:val="ListParagraph"/>
        <w:numPr>
          <w:ilvl w:val="0"/>
          <w:numId w:val="2"/>
        </w:numPr>
        <w:spacing w:after="60"/>
      </w:pPr>
      <w:r>
        <w:rPr>
          <w:rFonts w:ascii="Arial" w:cs="Arial" w:eastAsia="Arial" w:hAnsi="Arial"/>
          <w:sz w:val="20"/>
          <w:szCs w:val="20"/>
        </w:rPr>
        <w:t xml:space="preserve">Entfernen Sie die Verschlusskappe der Leitung.</w:t>
      </w:r>
    </w:p>
    <w:p>
      <w:pPr>
        <w:pStyle w:val="ListParagraph"/>
        <w:numPr>
          <w:ilvl w:val="0"/>
          <w:numId w:val="2"/>
        </w:numPr>
        <w:spacing w:after="60"/>
      </w:pPr>
      <w:r>
        <w:rPr>
          <w:rFonts w:ascii="Arial" w:cs="Arial" w:eastAsia="Arial" w:hAnsi="Arial"/>
          <w:sz w:val="20"/>
          <w:szCs w:val="20"/>
        </w:rPr>
        <w:t xml:space="preserve">Bringen Sie die Dichtungen am Flansch an.</w:t>
      </w:r>
    </w:p>
    <w:p>
      <w:pPr>
        <w:pStyle w:val="ListParagraph"/>
        <w:numPr>
          <w:ilvl w:val="0"/>
          <w:numId w:val="2"/>
        </w:numPr>
        <w:spacing w:after="60"/>
      </w:pPr>
      <w:r>
        <w:rPr>
          <w:rFonts w:ascii="Arial" w:cs="Arial" w:eastAsia="Arial" w:hAnsi="Arial"/>
          <w:sz w:val="20"/>
          <w:szCs w:val="20"/>
        </w:rPr>
        <w:t xml:space="preserve">Verschrauben Sie den Flansch kreuzweise.</w:t>
      </w:r>
    </w:p>
    <w:p>
      <w:pPr>
        <w:pStyle w:val="ListParagraph"/>
        <w:numPr>
          <w:ilvl w:val="1"/>
          <w:numId w:val="2"/>
        </w:numPr>
        <w:spacing w:after="40"/>
      </w:pPr>
      <w:r>
        <w:rPr>
          <w:rFonts w:ascii="Arial" w:cs="Arial" w:eastAsia="Arial" w:hAnsi="Arial"/>
          <w:i/>
          <w:iCs/>
          <w:sz w:val="20"/>
          <w:szCs w:val="20"/>
        </w:rPr>
        <w:t xml:space="preserve">Das max. Drehmoment beträgt 60 Nm.</w:t>
      </w:r>
    </w:p>
    <w:p>
      <w:pPr>
        <w:pStyle w:val="ListParagraph"/>
        <w:numPr>
          <w:ilvl w:val="1"/>
          <w:numId w:val="2"/>
        </w:numPr>
        <w:spacing w:after="40"/>
      </w:pPr>
      <w:r>
        <w:rPr>
          <w:rFonts w:ascii="Arial" w:cs="Arial" w:eastAsia="Arial" w:hAnsi="Arial"/>
          <w:i/>
          <w:iCs/>
          <w:sz w:val="20"/>
          <w:szCs w:val="20"/>
        </w:rPr>
        <w:t xml:space="preserve">Sie haben die volle Anzahl von Schrauben und Muttern zur Flanschbefestigung genutzt.</w:t>
      </w:r>
    </w:p>
    <w:p>
      <w:pPr>
        <w:pStyle w:val="ListParagraph"/>
        <w:numPr>
          <w:ilvl w:val="0"/>
          <w:numId w:val="2"/>
        </w:numPr>
        <w:spacing w:after="60"/>
      </w:pPr>
      <w:r>
        <w:rPr>
          <w:rFonts w:ascii="Arial" w:cs="Arial" w:eastAsia="Arial" w:hAnsi="Arial"/>
          <w:sz w:val="20"/>
          <w:szCs w:val="20"/>
        </w:rPr>
        <w:t xml:space="preserve">Montieren Sie die restlichen Rohrleitungen.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Achten Sie bei der Montage der Rohrleitungen darauf, dass die Leitungen spannungsfrei montiert sind.</w:t>
      </w:r>
    </w:p>
    <w:p>
      <w:pPr>
        <w:pStyle w:val="ListParagraph"/>
        <w:numPr>
          <w:ilvl w:val="0"/>
          <w:numId w:val="2"/>
        </w:numPr>
        <w:spacing w:after="60"/>
      </w:pPr>
      <w:r>
        <w:rPr>
          <w:rFonts w:ascii="Arial" w:cs="Arial" w:eastAsia="Arial" w:hAnsi="Arial"/>
          <w:sz w:val="20"/>
          <w:szCs w:val="20"/>
        </w:rPr>
        <w:t xml:space="preserve">Prüfen Sie die spannungsfreie Montage der Rohrleitungen.</w:t>
      </w:r>
    </w:p>
    <w:p>
      <w:pPr>
        <w:pStyle w:val="ListParagraph"/>
        <w:numPr>
          <w:ilvl w:val="1"/>
          <w:numId w:val="2"/>
        </w:numPr>
        <w:spacing w:after="40"/>
      </w:pPr>
      <w:r>
        <w:rPr>
          <w:rFonts w:ascii="Arial" w:cs="Arial" w:eastAsia="Arial" w:hAnsi="Arial"/>
          <w:i/>
          <w:iCs/>
          <w:sz w:val="20"/>
          <w:szCs w:val="20"/>
        </w:rPr>
        <w:t xml:space="preserve">Der Verladearm lässt sich frei bewegen.</w:t>
      </w:r>
    </w:p>
    <w:p>
      <w:pPr>
        <w:pStyle w:val="ListParagraph"/>
        <w:numPr>
          <w:ilvl w:val="1"/>
          <w:numId w:val="2"/>
        </w:numPr>
        <w:spacing w:after="40"/>
      </w:pPr>
      <w:r>
        <w:rPr>
          <w:rFonts w:ascii="Arial" w:cs="Arial" w:eastAsia="Arial" w:hAnsi="Arial"/>
          <w:i/>
          <w:iCs/>
          <w:sz w:val="20"/>
          <w:szCs w:val="20"/>
        </w:rPr>
        <w:t xml:space="preserve">Es gibt keine Kollisionen.</w:t>
      </w:r>
    </w:p>
    <w:p>
      <w:pPr>
        <w:pStyle w:val="ListParagraph"/>
        <w:numPr>
          <w:ilvl w:val="0"/>
          <w:numId w:val="2"/>
        </w:numPr>
        <w:spacing w:after="60"/>
      </w:pPr>
      <w:r>
        <w:rPr>
          <w:rFonts w:ascii="Arial" w:cs="Arial" w:eastAsia="Arial" w:hAnsi="Arial"/>
          <w:sz w:val="20"/>
          <w:szCs w:val="20"/>
        </w:rPr>
        <w:t xml:space="preserve">Überprüfen Sie den Arbeitsbereich gemäß der Zeichnung.</w:t>
      </w:r>
    </w:p>
    <w:p>
      <w:pPr>
        <w:pStyle w:val="ListParagraph"/>
        <w:numPr>
          <w:ilvl w:val="0"/>
          <w:numId w:val="2"/>
        </w:numPr>
        <w:spacing w:after="60"/>
      </w:pPr>
      <w:r>
        <w:rPr>
          <w:rFonts w:ascii="Arial" w:cs="Arial" w:eastAsia="Arial" w:hAnsi="Arial"/>
          <w:sz w:val="20"/>
          <w:szCs w:val="20"/>
        </w:rPr>
        <w:t xml:space="preserve">Falten Sie den Verladearm zusammen.</w:t>
      </w:r>
    </w:p>
    <w:p>
      <w:pPr>
        <w:pStyle w:val="ListParagraph"/>
        <w:numPr>
          <w:ilvl w:val="0"/>
          <w:numId w:val="2"/>
        </w:numPr>
        <w:spacing w:after="60"/>
      </w:pPr>
      <w:r>
        <w:rPr>
          <w:rFonts w:ascii="Arial" w:cs="Arial" w:eastAsia="Arial" w:hAnsi="Arial"/>
          <w:sz w:val="20"/>
          <w:szCs w:val="20"/>
        </w:rPr>
        <w:t xml:space="preserve">Fixieren Sie den Verladearm in der Nähe der Aufhängung.</w:t>
      </w:r>
    </w:p>
    <w:p>
      <w:pPr>
        <w:pStyle w:val="Heading2"/>
        <w:keepNext/>
        <w:spacing w:after="100" w:before="200"/>
      </w:pPr>
      <w:r>
        <w:rPr>
          <w:rFonts w:ascii="Arial" w:cs="Arial" w:eastAsia="Arial" w:hAnsi="Arial"/>
          <w:b/>
          <w:bCs/>
          <w:sz w:val="22"/>
          <w:szCs w:val="22"/>
        </w:rPr>
        <w:t xml:space="preserve">7.3. Schaltschrank aufstellen und elektrisch anschließen</w:t>
      </w:r>
    </w:p>
    <w:p>
      <w:pPr>
        <w:pStyle w:val="ListParagraph"/>
        <w:numPr>
          <w:ilvl w:val="0"/>
          <w:numId w:val="2"/>
        </w:numPr>
        <w:spacing w:after="60"/>
      </w:pPr>
      <w:r>
        <w:rPr>
          <w:rFonts w:ascii="Arial" w:cs="Arial" w:eastAsia="Arial" w:hAnsi="Arial"/>
          <w:sz w:val="20"/>
          <w:szCs w:val="20"/>
        </w:rPr>
        <w:t xml:space="preserve">Stellen Sie den Schaltschrank auf dem Standfuß ca. 2–3 m vom Verladearm entfernt auf. Die Leitungen zum Arm sind für diesen Abstand ausgelegt und behindern den Arm so nicht in seiner Bewegung.</w:t>
      </w:r>
    </w:p>
    <w:p>
      <w:pPr>
        <w:pStyle w:val="ListParagraph"/>
        <w:numPr>
          <w:ilvl w:val="0"/>
          <w:numId w:val="2"/>
        </w:numPr>
        <w:spacing w:after="60"/>
      </w:pPr>
      <w:r>
        <w:rPr>
          <w:rFonts w:ascii="Arial" w:cs="Arial" w:eastAsia="Arial" w:hAnsi="Arial"/>
          <w:sz w:val="20"/>
          <w:szCs w:val="20"/>
        </w:rPr>
        <w:t xml:space="preserve">Verlegen Sie die Leitungen so, dass sie den Bewegungsbereich nicht kreuzen und keine Stolperstellen entstehen.</w:t>
      </w:r>
    </w:p>
    <w:p>
      <w:pPr>
        <w:pStyle w:val="ListParagraph"/>
        <w:numPr>
          <w:ilvl w:val="0"/>
          <w:numId w:val="2"/>
        </w:numPr>
        <w:spacing w:after="60"/>
      </w:pPr>
      <w:r>
        <w:rPr>
          <w:rFonts w:ascii="Arial" w:cs="Arial" w:eastAsia="Arial" w:hAnsi="Arial"/>
          <w:sz w:val="20"/>
          <w:szCs w:val="20"/>
        </w:rPr>
        <w:t xml:space="preserve">Schließen Sie Antrieb, Endlagensensoren, Hindernissensor und Hängetaster gemäß Stromlaufplan SIMO-100-2605-00099 an.</w:t>
      </w:r>
    </w:p>
    <w:p>
      <w:pPr>
        <w:pStyle w:val="ListParagraph"/>
        <w:numPr>
          <w:ilvl w:val="0"/>
          <w:numId w:val="2"/>
        </w:numPr>
        <w:spacing w:after="60"/>
      </w:pPr>
      <w:r>
        <w:rPr>
          <w:rFonts w:ascii="Arial" w:cs="Arial" w:eastAsia="Arial" w:hAnsi="Arial"/>
          <w:sz w:val="20"/>
          <w:szCs w:val="20"/>
        </w:rPr>
        <w:t xml:space="preserve">Stecken Sie das Stromanschlusskabel (ca. 10 m) in eine CEE-Steckdose 16 A / 5-polig / 400 V. Die bauseitige Absicherung erfolgt üblicherweise mit einem 3-poligen Leitungsschutzschalter B16.</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Im Schaltschrank ist ein Frequenzumrichter verbaut. Wird ein FI-Schutzschalter vorgeschaltet, muss dieser allstromsensitiv sein (Typ B). Die bauseitige Installation ist durch eine Elektrofachkraft des Betreibers zu prüfen.</w:t>
      </w:r>
    </w:p>
    <w:p>
      <w:pPr>
        <w:pStyle w:val="Heading2"/>
        <w:keepNext/>
        <w:spacing w:after="100" w:before="200"/>
      </w:pPr>
      <w:r>
        <w:rPr>
          <w:rFonts w:ascii="Arial" w:cs="Arial" w:eastAsia="Arial" w:hAnsi="Arial"/>
          <w:b/>
          <w:bCs/>
          <w:sz w:val="22"/>
          <w:szCs w:val="22"/>
        </w:rPr>
        <w:t xml:space="preserve">7.4. Elektrischen Antrieb und Betriebsstellungen prüfen</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Unerwartete Bewegung bei der ersten Inbetriebnahme</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Quetsch- und Stoßverletzungen bei falscher Drehrichtung oder fehlerhafter Verdrahtung.</w:t>
      </w:r>
    </w:p>
    <w:p>
      <w:pPr>
        <w:keepNext/>
        <w:pBdr>
          <w:left w:val="single" w:color="C55A11" w:sz="18" w:space="6"/>
        </w:pBdr>
        <w:shd w:fill="FCE9DA" w:color="auto" w:val="clear"/>
        <w:spacing w:after="30"/>
        <w:ind w:left="200"/>
      </w:pPr>
      <w:r>
        <w:rPr>
          <w:rFonts w:ascii="Arial" w:cs="Arial" w:eastAsia="Arial" w:hAnsi="Arial"/>
          <w:sz w:val="20"/>
          <w:szCs w:val="20"/>
        </w:rPr>
        <w:t xml:space="preserve">→ Bewegungsbereich absperren.</w:t>
      </w:r>
    </w:p>
    <w:p>
      <w:pPr>
        <w:keepNext w:val="false"/>
        <w:pBdr>
          <w:left w:val="single" w:color="C55A11" w:sz="18" w:space="6"/>
        </w:pBdr>
        <w:shd w:fill="FCE9DA" w:color="auto" w:val="clear"/>
        <w:spacing w:after="160"/>
        <w:ind w:left="200"/>
      </w:pPr>
      <w:r>
        <w:rPr>
          <w:rFonts w:ascii="Arial" w:cs="Arial" w:eastAsia="Arial" w:hAnsi="Arial"/>
          <w:sz w:val="20"/>
          <w:szCs w:val="20"/>
        </w:rPr>
        <w:t xml:space="preserve">→ Erste Bewegungen nur kurz im Tippbetrieb ausführen, Hand am Not-Halt.</w:t>
      </w:r>
    </w:p>
    <w:p>
      <w:pPr>
        <w:spacing w:after="120"/>
      </w:pPr>
      <w:r>
        <w:rPr>
          <w:rFonts w:ascii="Arial" w:cs="Arial" w:eastAsia="Arial" w:hAnsi="Arial"/>
          <w:sz w:val="20"/>
          <w:szCs w:val="20"/>
        </w:rPr>
        <w:t xml:space="preserve">Der Verladearm wird durch einen elektrischen Schwenkantrieb gehoben und gesenkt. Vor der ersten Inbetriebnahme sind Drehrichtung, freie Beweglichkeit, Endlagen, Verriegelungen, Sicherheitseinrichtungen und Kollisionsfreiheit gemäß Zeichnung und Stromlaufplan zu prüfen.</w:t>
      </w:r>
    </w:p>
    <w:p>
      <w:pPr>
        <w:keepNext/>
        <w:spacing w:after="80" w:before="140"/>
      </w:pPr>
      <w:r>
        <w:rPr>
          <w:rFonts w:ascii="Arial" w:cs="Arial" w:eastAsia="Arial" w:hAnsi="Arial"/>
          <w:b/>
          <w:bCs/>
          <w:sz w:val="20"/>
          <w:szCs w:val="20"/>
        </w:rPr>
        <w:t xml:space="preserve">Betriebsstellung prüfen</w:t>
      </w:r>
    </w:p>
    <w:p>
      <w:pPr>
        <w:pStyle w:val="ListParagraph"/>
        <w:numPr>
          <w:ilvl w:val="0"/>
          <w:numId w:val="2"/>
        </w:numPr>
        <w:spacing w:after="60"/>
      </w:pPr>
      <w:r>
        <w:rPr>
          <w:rFonts w:ascii="Arial" w:cs="Arial" w:eastAsia="Arial" w:hAnsi="Arial"/>
          <w:sz w:val="20"/>
          <w:szCs w:val="20"/>
        </w:rPr>
        <w:t xml:space="preserve">Stellen Sie sicher, dass sich keine Personen oder Hindernisse im Bewegungsbereich befinden.</w:t>
      </w:r>
    </w:p>
    <w:p>
      <w:pPr>
        <w:pStyle w:val="ListParagraph"/>
        <w:numPr>
          <w:ilvl w:val="0"/>
          <w:numId w:val="2"/>
        </w:numPr>
        <w:spacing w:after="60"/>
      </w:pPr>
      <w:r>
        <w:rPr>
          <w:rFonts w:ascii="Arial" w:cs="Arial" w:eastAsia="Arial" w:hAnsi="Arial"/>
          <w:sz w:val="20"/>
          <w:szCs w:val="20"/>
        </w:rPr>
        <w:t xml:space="preserve">Schalten Sie die elektrische Versorgung über den Hauptschalter kontrolliert ein.</w:t>
      </w:r>
    </w:p>
    <w:p>
      <w:pPr>
        <w:pStyle w:val="ListParagraph"/>
        <w:numPr>
          <w:ilvl w:val="0"/>
          <w:numId w:val="2"/>
        </w:numPr>
        <w:spacing w:after="60"/>
      </w:pPr>
      <w:r>
        <w:rPr>
          <w:rFonts w:ascii="Arial" w:cs="Arial" w:eastAsia="Arial" w:hAnsi="Arial"/>
          <w:sz w:val="20"/>
          <w:szCs w:val="20"/>
        </w:rPr>
        <w:t xml:space="preserve">Prüfen Sie die Bewegungsrichtung mit den Tasten Heben (↑) und Senken (↓) im Tippbetrieb.</w:t>
      </w:r>
    </w:p>
    <w:p>
      <w:pPr>
        <w:pStyle w:val="ListParagraph"/>
        <w:numPr>
          <w:ilvl w:val="0"/>
          <w:numId w:val="2"/>
        </w:numPr>
        <w:spacing w:after="60"/>
      </w:pPr>
      <w:r>
        <w:rPr>
          <w:rFonts w:ascii="Arial" w:cs="Arial" w:eastAsia="Arial" w:hAnsi="Arial"/>
          <w:sz w:val="20"/>
          <w:szCs w:val="20"/>
        </w:rPr>
        <w:t xml:space="preserve">Fahren Sie den Verladearm langsam bis zur oberen und unteren Endlage (±45°). Der Antrieb muss in beiden Endlagen selbsttätig abschalten.</w:t>
      </w:r>
    </w:p>
    <w:p>
      <w:pPr>
        <w:pStyle w:val="ListParagraph"/>
        <w:numPr>
          <w:ilvl w:val="0"/>
          <w:numId w:val="2"/>
        </w:numPr>
        <w:spacing w:after="60"/>
      </w:pPr>
      <w:r>
        <w:rPr>
          <w:rFonts w:ascii="Arial" w:cs="Arial" w:eastAsia="Arial" w:hAnsi="Arial"/>
          <w:sz w:val="20"/>
          <w:szCs w:val="20"/>
        </w:rPr>
        <w:t xml:space="preserve">Prüfen Sie den Not-Halt: Der Antrieb muss bei Betätigung sofort stoppen und darf erst nach Entriegeln und „Reset“ wieder anlaufen.</w:t>
      </w:r>
    </w:p>
    <w:p>
      <w:pPr>
        <w:pStyle w:val="ListParagraph"/>
        <w:numPr>
          <w:ilvl w:val="0"/>
          <w:numId w:val="2"/>
        </w:numPr>
        <w:spacing w:after="60"/>
      </w:pPr>
      <w:r>
        <w:rPr>
          <w:rFonts w:ascii="Arial" w:cs="Arial" w:eastAsia="Arial" w:hAnsi="Arial"/>
          <w:sz w:val="20"/>
          <w:szCs w:val="20"/>
        </w:rPr>
        <w:t xml:space="preserve">Halten Sie ein metallisches Teil unter die Lanze und betätigen Sie „Senken“. Die Abwärtsbewegung muss stoppen.</w:t>
      </w:r>
    </w:p>
    <w:p>
      <w:pPr>
        <w:pStyle w:val="ListParagraph"/>
        <w:numPr>
          <w:ilvl w:val="0"/>
          <w:numId w:val="2"/>
        </w:numPr>
        <w:spacing w:after="60"/>
      </w:pPr>
      <w:r>
        <w:rPr>
          <w:rFonts w:ascii="Arial" w:cs="Arial" w:eastAsia="Arial" w:hAnsi="Arial"/>
          <w:sz w:val="20"/>
          <w:szCs w:val="20"/>
        </w:rPr>
        <w:t xml:space="preserve">Prüfen Sie die Parkposition sowie den freien Arbeitsbereich gemäß Zeichnung 00028433.</w:t>
      </w:r>
    </w:p>
    <w:p>
      <w:pPr>
        <w:pStyle w:val="ListParagraph"/>
        <w:numPr>
          <w:ilvl w:val="1"/>
          <w:numId w:val="2"/>
        </w:numPr>
        <w:spacing w:after="40"/>
      </w:pPr>
      <w:r>
        <w:rPr>
          <w:rFonts w:ascii="Arial" w:cs="Arial" w:eastAsia="Arial" w:hAnsi="Arial"/>
          <w:i/>
          <w:iCs/>
          <w:sz w:val="20"/>
          <w:szCs w:val="20"/>
        </w:rPr>
        <w:t xml:space="preserve">Der Verladearm muss sich ohne Kollision, ungewöhnliche Geräusche oder ruckartige Bewegung verfahren lassen.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Steuerungsfunktionen und Verriegelungen sind dem freigegebenen Stromlaufplan SIMO-100-2605-00099 zu entnehmen. Einstellungen am Schwenktrieb, an Endlagen, am Frequenzumrichter oder an der Steuerung dürfen nur durch autorisiertes und geschultes Fachpersonal vorgenommen werden.</w:t>
      </w:r>
    </w:p>
    <w:p>
      <w:pPr>
        <w:pStyle w:val="Heading1"/>
        <w:keepNext/>
        <w:spacing w:after="140" w:before="280"/>
      </w:pPr>
      <w:r>
        <w:rPr>
          <w:rFonts w:ascii="Arial" w:cs="Arial" w:eastAsia="Arial" w:hAnsi="Arial"/>
          <w:b/>
          <w:bCs/>
          <w:sz w:val="26"/>
          <w:szCs w:val="26"/>
        </w:rPr>
        <w:t xml:space="preserve">8. INBETRIEBNAHME</w:t>
      </w:r>
    </w:p>
    <w:p>
      <w:pPr>
        <w:pStyle w:val="Heading2"/>
        <w:keepNext/>
        <w:spacing w:after="100" w:before="200"/>
      </w:pPr>
      <w:r>
        <w:rPr>
          <w:rFonts w:ascii="Arial" w:cs="Arial" w:eastAsia="Arial" w:hAnsi="Arial"/>
          <w:b/>
          <w:bCs/>
          <w:sz w:val="22"/>
          <w:szCs w:val="22"/>
        </w:rPr>
        <w:t xml:space="preserve">8.1. Maßnahmen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Die Inbetriebnahme darf nur erfolgen, wenn die lokalen Betriebsanweisungen erfüllt sind und garantiert ist, dass alle Sicherheitsvorschriften und Umweltbelange berücksichtigt sind.</w:t>
      </w:r>
    </w:p>
    <w:p>
      <w:pPr>
        <w:keepNext/>
        <w:spacing w:after="80" w:before="140"/>
      </w:pPr>
      <w:r>
        <w:rPr>
          <w:rFonts w:ascii="Arial" w:cs="Arial" w:eastAsia="Arial" w:hAnsi="Arial"/>
          <w:b/>
          <w:bCs/>
          <w:sz w:val="20"/>
          <w:szCs w:val="20"/>
        </w:rPr>
        <w:t xml:space="preserve">Vorbereitungen treffen</w:t>
      </w:r>
    </w:p>
    <w:p>
      <w:pPr>
        <w:pStyle w:val="ListParagraph"/>
        <w:numPr>
          <w:ilvl w:val="0"/>
          <w:numId w:val="2"/>
        </w:numPr>
        <w:spacing w:after="60"/>
      </w:pPr>
      <w:r>
        <w:rPr>
          <w:rFonts w:ascii="Arial" w:cs="Arial" w:eastAsia="Arial" w:hAnsi="Arial"/>
          <w:sz w:val="20"/>
          <w:szCs w:val="20"/>
        </w:rPr>
        <w:t xml:space="preserve">Vergewissern Sie sich, dass das kundenseitige Rohrleitungssystem sorgfältig gereinigt und gespült wurde.</w:t>
      </w:r>
    </w:p>
    <w:p>
      <w:pPr>
        <w:pStyle w:val="ListParagraph"/>
        <w:numPr>
          <w:ilvl w:val="0"/>
          <w:numId w:val="2"/>
        </w:numPr>
        <w:spacing w:after="60"/>
      </w:pPr>
      <w:r>
        <w:rPr>
          <w:rFonts w:ascii="Arial" w:cs="Arial" w:eastAsia="Arial" w:hAnsi="Arial"/>
          <w:sz w:val="20"/>
          <w:szCs w:val="20"/>
        </w:rPr>
        <w:t xml:space="preserve">Prüfen Sie den elektrischen Antrieb, Motorschutz, Not-Halt, Endlagen, Hindernissensor und alle angeschlossenen Füllstands- bzw. Überwachungssignale auf ordnungsgemäße Funktion.</w:t>
      </w:r>
    </w:p>
    <w:p>
      <w:pPr>
        <w:pStyle w:val="ListParagraph"/>
        <w:numPr>
          <w:ilvl w:val="0"/>
          <w:numId w:val="2"/>
        </w:numPr>
        <w:spacing w:after="60"/>
      </w:pPr>
      <w:r>
        <w:rPr>
          <w:rFonts w:ascii="Arial" w:cs="Arial" w:eastAsia="Arial" w:hAnsi="Arial"/>
          <w:sz w:val="20"/>
          <w:szCs w:val="20"/>
        </w:rPr>
        <w:t xml:space="preserve">Beseitigen Sie eventuelle Leckstellen.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pBdr>
          <w:left w:val="single" w:color="1F4E79" w:sz="18" w:space="6"/>
        </w:pBdr>
        <w:shd w:fill="EAF1F8" w:color="auto" w:val="clear"/>
        <w:spacing w:after="40"/>
        <w:ind w:left="200"/>
      </w:pPr>
      <w:r>
        <w:rPr>
          <w:rFonts w:ascii="Arial" w:cs="Arial" w:eastAsia="Arial" w:hAnsi="Arial"/>
          <w:sz w:val="20"/>
          <w:szCs w:val="20"/>
        </w:rPr>
        <w:t xml:space="preserve">Die nachfolgenden Bedienungsanweisungen sind nur eine vom Hersteller empfohlene Abfolge von Schritten.</w:t>
      </w:r>
    </w:p>
    <w:p>
      <w:pPr>
        <w:keepNext/>
        <w:pBdr>
          <w:left w:val="single" w:color="1F4E79" w:sz="18" w:space="6"/>
        </w:pBdr>
        <w:shd w:fill="EAF1F8" w:color="auto" w:val="clear"/>
        <w:spacing w:after="40"/>
        <w:ind w:left="200"/>
      </w:pPr>
      <w:r>
        <w:rPr>
          <w:rFonts w:ascii="Arial" w:cs="Arial" w:eastAsia="Arial" w:hAnsi="Arial"/>
          <w:sz w:val="20"/>
          <w:szCs w:val="20"/>
        </w:rPr>
        <w:t xml:space="preserve">Die Bestimmung und Anwendung des Verladearms können spezielle Bedienungsanforderungen und zusätzliche Anweisungen erforderlich machen.</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Die nachfolgenden Bedienungsanweisungen müssen deshalb – falls erforderlich – von einem verantwortlichen Servicetechniker des Vertragsnehmers des Endanwenders überprüft und genehmigt werden.</w:t>
      </w:r>
    </w:p>
    <w:p>
      <w:pPr>
        <w:pStyle w:val="Heading1"/>
        <w:keepNext/>
        <w:spacing w:after="140" w:before="280"/>
      </w:pPr>
      <w:r>
        <w:rPr>
          <w:rFonts w:ascii="Arial" w:cs="Arial" w:eastAsia="Arial" w:hAnsi="Arial"/>
          <w:b/>
          <w:bCs/>
          <w:sz w:val="26"/>
          <w:szCs w:val="26"/>
        </w:rPr>
        <w:t xml:space="preserve">9. BEDIENUNG</w:t>
      </w:r>
    </w:p>
    <w:p>
      <w:pPr>
        <w:pStyle w:val="Heading2"/>
        <w:keepNext/>
        <w:spacing w:after="100" w:before="200"/>
      </w:pPr>
      <w:r>
        <w:rPr>
          <w:rFonts w:ascii="Arial" w:cs="Arial" w:eastAsia="Arial" w:hAnsi="Arial"/>
          <w:b/>
          <w:bCs/>
          <w:sz w:val="22"/>
          <w:szCs w:val="22"/>
        </w:rPr>
        <w:t xml:space="preserve">9.1. Maßnahmen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Die Vorschriften des Verladearms, insbesondere die Erdungs- und Sicherheitsvorschriften, unbedingt einhalten. Die Tankwagen nach Vorschrift erden. Beachten Sie die Vorschriften zur Gesamtanlage und die spezifischen Bedienungsanweisungen.</w:t>
      </w:r>
    </w:p>
    <w:p>
      <w:pPr>
        <w:pStyle w:val="Heading2"/>
        <w:keepNext/>
        <w:spacing w:after="100" w:before="200"/>
      </w:pPr>
      <w:r>
        <w:rPr>
          <w:rFonts w:ascii="Arial" w:cs="Arial" w:eastAsia="Arial" w:hAnsi="Arial"/>
          <w:b/>
          <w:bCs/>
          <w:sz w:val="22"/>
          <w:szCs w:val="22"/>
        </w:rPr>
        <w:t xml:space="preserve">9.2. Verladevorgang</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Quetschgefahr beim Absenken der Lanze</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Schwere Verletzungen an Händen und Kopf zwischen Lanze und Tankwagen.</w:t>
      </w:r>
    </w:p>
    <w:p>
      <w:pPr>
        <w:keepNext/>
        <w:pBdr>
          <w:left w:val="single" w:color="C55A11" w:sz="18" w:space="6"/>
        </w:pBdr>
        <w:shd w:fill="FCE9DA" w:color="auto" w:val="clear"/>
        <w:spacing w:after="30"/>
        <w:ind w:left="200"/>
      </w:pPr>
      <w:r>
        <w:rPr>
          <w:rFonts w:ascii="Arial" w:cs="Arial" w:eastAsia="Arial" w:hAnsi="Arial"/>
          <w:sz w:val="20"/>
          <w:szCs w:val="20"/>
        </w:rPr>
        <w:t xml:space="preserve">→ Nicht unter die Lanze greifen oder treten, solange der Arm bewegt wird.</w:t>
      </w:r>
    </w:p>
    <w:p>
      <w:pPr>
        <w:keepNext w:val="false"/>
        <w:pBdr>
          <w:left w:val="single" w:color="C55A11" w:sz="18" w:space="6"/>
        </w:pBdr>
        <w:shd w:fill="FCE9DA" w:color="auto" w:val="clear"/>
        <w:spacing w:after="160"/>
        <w:ind w:left="200"/>
      </w:pPr>
      <w:r>
        <w:rPr>
          <w:rFonts w:ascii="Arial" w:cs="Arial" w:eastAsia="Arial" w:hAnsi="Arial"/>
          <w:sz w:val="20"/>
          <w:szCs w:val="20"/>
        </w:rPr>
        <w:t xml:space="preserve">→ Taste sofort loslassen bzw. Not-Halt betätigen, wenn sich jemand nähert.</w:t>
      </w:r>
    </w:p>
    <w:p>
      <w:pPr>
        <w:pStyle w:val="ListParagraph"/>
        <w:numPr>
          <w:ilvl w:val="0"/>
          <w:numId w:val="2"/>
        </w:numPr>
        <w:spacing w:after="60"/>
      </w:pPr>
      <w:r>
        <w:rPr>
          <w:rFonts w:ascii="Arial" w:cs="Arial" w:eastAsia="Arial" w:hAnsi="Arial"/>
          <w:sz w:val="20"/>
          <w:szCs w:val="20"/>
        </w:rPr>
        <w:t xml:space="preserve">Schalten Sie den Hauptschalter ein.</w:t>
      </w:r>
    </w:p>
    <w:p>
      <w:pPr>
        <w:pStyle w:val="ListParagraph"/>
        <w:numPr>
          <w:ilvl w:val="0"/>
          <w:numId w:val="2"/>
        </w:numPr>
        <w:spacing w:after="60"/>
      </w:pPr>
      <w:r>
        <w:rPr>
          <w:rFonts w:ascii="Arial" w:cs="Arial" w:eastAsia="Arial" w:hAnsi="Arial"/>
          <w:sz w:val="20"/>
          <w:szCs w:val="20"/>
        </w:rPr>
        <w:t xml:space="preserve">Vergewissern Sie sich, dass sich keine Personen oder Hindernisse unter der Lanze befinden.</w:t>
      </w:r>
    </w:p>
    <w:p>
      <w:pPr>
        <w:pStyle w:val="ListParagraph"/>
        <w:numPr>
          <w:ilvl w:val="0"/>
          <w:numId w:val="2"/>
        </w:numPr>
        <w:spacing w:after="60"/>
      </w:pPr>
      <w:r>
        <w:rPr>
          <w:rFonts w:ascii="Arial" w:cs="Arial" w:eastAsia="Arial" w:hAnsi="Arial"/>
          <w:sz w:val="20"/>
          <w:szCs w:val="20"/>
        </w:rPr>
        <w:t xml:space="preserve">Senken Sie den Verladearm mit der Taste „Senken“ (↓) langsam aus der Parkposition über die geöffnete Befüllöffnung ab.</w:t>
      </w:r>
    </w:p>
    <w:p>
      <w:pPr>
        <w:pStyle w:val="ListParagraph"/>
        <w:numPr>
          <w:ilvl w:val="0"/>
          <w:numId w:val="2"/>
        </w:numPr>
        <w:spacing w:after="60"/>
      </w:pPr>
      <w:r>
        <w:rPr>
          <w:rFonts w:ascii="Arial" w:cs="Arial" w:eastAsia="Arial" w:hAnsi="Arial"/>
          <w:sz w:val="20"/>
          <w:szCs w:val="20"/>
        </w:rPr>
        <w:t xml:space="preserve">Positionieren Sie das Fallrohr mittig über der Befüllöffnung des Tankwagens bzw. Transportbehälters.</w:t>
      </w:r>
    </w:p>
    <w:p>
      <w:pPr>
        <w:pStyle w:val="ListParagraph"/>
        <w:numPr>
          <w:ilvl w:val="0"/>
          <w:numId w:val="2"/>
        </w:numPr>
        <w:spacing w:after="60"/>
      </w:pPr>
      <w:r>
        <w:rPr>
          <w:rFonts w:ascii="Arial" w:cs="Arial" w:eastAsia="Arial" w:hAnsi="Arial"/>
          <w:sz w:val="20"/>
          <w:szCs w:val="20"/>
        </w:rPr>
        <w:t xml:space="preserve">Lassen Sie die Taste los, sobald die Verladeposition erreicht ist, und prüfen Sie die sichere Positionierung.</w:t>
      </w:r>
    </w:p>
    <w:p>
      <w:pPr>
        <w:pStyle w:val="ListParagraph"/>
        <w:numPr>
          <w:ilvl w:val="0"/>
          <w:numId w:val="2"/>
        </w:numPr>
        <w:spacing w:after="60"/>
      </w:pPr>
      <w:r>
        <w:rPr>
          <w:rFonts w:ascii="Arial" w:cs="Arial" w:eastAsia="Arial" w:hAnsi="Arial"/>
          <w:sz w:val="20"/>
          <w:szCs w:val="20"/>
        </w:rPr>
        <w:t xml:space="preserve">Geben Sie den Verladevorgang erst frei, wenn alle anlagenseitigen Sicherheits- und Füllstandssignale betriebsbereit sind.</w:t>
      </w:r>
    </w:p>
    <w:p>
      <w:pPr>
        <w:pStyle w:val="ListParagraph"/>
        <w:numPr>
          <w:ilvl w:val="0"/>
          <w:numId w:val="2"/>
        </w:numPr>
        <w:spacing w:after="60"/>
      </w:pPr>
      <w:r>
        <w:rPr>
          <w:rFonts w:ascii="Arial" w:cs="Arial" w:eastAsia="Arial" w:hAnsi="Arial"/>
          <w:sz w:val="20"/>
          <w:szCs w:val="20"/>
        </w:rPr>
        <w:t xml:space="preserve">Überwachen Sie den Verladevorgang kontinuierlich auf Leckagen, ungewöhnliche Bewegungen und das Erreichen der vorgesehenen Füllhöhe.</w:t>
      </w:r>
    </w:p>
    <w:p>
      <w:pPr>
        <w:pStyle w:val="ListParagraph"/>
        <w:numPr>
          <w:ilvl w:val="0"/>
          <w:numId w:val="2"/>
        </w:numPr>
        <w:spacing w:after="60"/>
      </w:pPr>
      <w:r>
        <w:rPr>
          <w:rFonts w:ascii="Arial" w:cs="Arial" w:eastAsia="Arial" w:hAnsi="Arial"/>
          <w:sz w:val="20"/>
          <w:szCs w:val="20"/>
        </w:rPr>
        <w:t xml:space="preserve">Wenn die gewünschte Füllhöhe oder Verlademenge erreicht ist, beenden Sie die Produktzufuhr über die kundenseitige Prozesssteuerung.</w:t>
      </w:r>
    </w:p>
    <w:p>
      <w:pPr>
        <w:pStyle w:val="Heading2"/>
        <w:keepNext/>
        <w:spacing w:after="100" w:before="200"/>
      </w:pPr>
      <w:r>
        <w:rPr>
          <w:rFonts w:ascii="Arial" w:cs="Arial" w:eastAsia="Arial" w:hAnsi="Arial"/>
          <w:b/>
          <w:bCs/>
          <w:sz w:val="22"/>
          <w:szCs w:val="22"/>
        </w:rPr>
        <w:t xml:space="preserve">9.3. Verladevorgang beenden</w:t>
      </w:r>
    </w:p>
    <w:p>
      <w:pPr>
        <w:spacing w:after="120"/>
      </w:pPr>
      <w:r>
        <w:rPr>
          <w:rFonts w:ascii="Arial" w:cs="Arial" w:eastAsia="Arial" w:hAnsi="Arial"/>
          <w:sz w:val="20"/>
          <w:szCs w:val="20"/>
        </w:rPr>
        <w:t xml:space="preserve">Schließen Sie die Produktzufuhr und stellen Sie den Verladearm gemäß Betreiberverfahren drucklos bzw. entleert her.</w:t>
      </w:r>
    </w:p>
    <w:p>
      <w:pPr>
        <w:pStyle w:val="ListParagraph"/>
        <w:numPr>
          <w:ilvl w:val="0"/>
          <w:numId w:val="2"/>
        </w:numPr>
        <w:spacing w:after="60"/>
      </w:pPr>
      <w:r>
        <w:rPr>
          <w:rFonts w:ascii="Arial" w:cs="Arial" w:eastAsia="Arial" w:hAnsi="Arial"/>
          <w:sz w:val="20"/>
          <w:szCs w:val="20"/>
        </w:rPr>
        <w:t xml:space="preserve">Lassen Sie Restmedium kontrolliert über der Befüllöffnung abtropfen.</w:t>
      </w:r>
    </w:p>
    <w:p>
      <w:pPr>
        <w:pStyle w:val="ListParagraph"/>
        <w:numPr>
          <w:ilvl w:val="0"/>
          <w:numId w:val="2"/>
        </w:numPr>
        <w:spacing w:after="60"/>
      </w:pPr>
      <w:r>
        <w:rPr>
          <w:rFonts w:ascii="Arial" w:cs="Arial" w:eastAsia="Arial" w:hAnsi="Arial"/>
          <w:sz w:val="20"/>
          <w:szCs w:val="20"/>
        </w:rPr>
        <w:t xml:space="preserve">Verwenden Sie bei Bedarf ein geeignetes Auffanggefäß für Resttropfen.</w:t>
      </w:r>
    </w:p>
    <w:p>
      <w:pPr>
        <w:pStyle w:val="ListParagraph"/>
        <w:numPr>
          <w:ilvl w:val="0"/>
          <w:numId w:val="2"/>
        </w:numPr>
        <w:spacing w:after="60"/>
      </w:pPr>
      <w:r>
        <w:rPr>
          <w:rFonts w:ascii="Arial" w:cs="Arial" w:eastAsia="Arial" w:hAnsi="Arial"/>
          <w:sz w:val="20"/>
          <w:szCs w:val="20"/>
        </w:rPr>
        <w:t xml:space="preserve">Fahren Sie den Verladearm mit der Taste „Heben“ (↑) in die Parkposition.</w:t>
      </w:r>
    </w:p>
    <w:p>
      <w:pPr>
        <w:pStyle w:val="ListParagraph"/>
        <w:numPr>
          <w:ilvl w:val="0"/>
          <w:numId w:val="2"/>
        </w:numPr>
        <w:spacing w:after="60"/>
      </w:pPr>
      <w:r>
        <w:rPr>
          <w:rFonts w:ascii="Arial" w:cs="Arial" w:eastAsia="Arial" w:hAnsi="Arial"/>
          <w:sz w:val="20"/>
          <w:szCs w:val="20"/>
        </w:rPr>
        <w:t xml:space="preserve">Hängen Sie den Hängetaster geschützt auf.</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Der zu befüllende Behälter muss resistent gegen das Füllmedium sein.</w:t>
      </w:r>
    </w:p>
    <w:p>
      <w:pPr>
        <w:pStyle w:val="Heading1"/>
        <w:keepNext/>
        <w:spacing w:after="140" w:before="280"/>
      </w:pPr>
      <w:r>
        <w:rPr>
          <w:rFonts w:ascii="Arial" w:cs="Arial" w:eastAsia="Arial" w:hAnsi="Arial"/>
          <w:b/>
          <w:bCs/>
          <w:sz w:val="26"/>
          <w:szCs w:val="26"/>
        </w:rPr>
        <w:t xml:space="preserve">10. WARTUNG</w:t>
      </w:r>
    </w:p>
    <w:p>
      <w:pPr>
        <w:pStyle w:val="Heading2"/>
        <w:keepNext/>
        <w:spacing w:after="100" w:before="200"/>
      </w:pPr>
      <w:r>
        <w:rPr>
          <w:rFonts w:ascii="Arial" w:cs="Arial" w:eastAsia="Arial" w:hAnsi="Arial"/>
          <w:b/>
          <w:bCs/>
          <w:sz w:val="22"/>
          <w:szCs w:val="22"/>
        </w:rPr>
        <w:t xml:space="preserve">10.1. Drehgelenke</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Das Öffnen und/oder Zerlegen der Drehgelenke durch den Anwender ist nicht erlaubt und führt zum Erlöschen der Herstellergarantie.</w:t>
      </w:r>
    </w:p>
    <w:p>
      <w:pPr>
        <w:spacing w:after="120"/>
      </w:pPr>
      <w:r>
        <w:rPr>
          <w:rFonts w:ascii="Arial" w:cs="Arial" w:eastAsia="Arial" w:hAnsi="Arial"/>
          <w:sz w:val="20"/>
          <w:szCs w:val="20"/>
        </w:rPr>
        <w:t xml:space="preserve">Flanschdrehgelenke sind mit einer Spezialdichtung am Rohrabschnittsflansch abgedichtet. Muss die Dichtung ausgetauscht werden, müssen auch die Schrauben sorgfältig kreuzweise angezogen werden. Das maximale Drehmoment beträgt 60 Nm.</w:t>
      </w:r>
    </w:p>
    <w:p>
      <w:pPr>
        <w:spacing w:after="120"/>
      </w:pPr>
      <w:r>
        <w:rPr>
          <w:rFonts w:ascii="Arial" w:cs="Arial" w:eastAsia="Arial" w:hAnsi="Arial"/>
          <w:sz w:val="20"/>
          <w:szCs w:val="20"/>
        </w:rPr>
        <w:t xml:space="preserve">Im Falle von beschädigten oder undichten Drehgelenken ist der Hersteller umgehend zu informieren.</w:t>
      </w:r>
    </w:p>
    <w:p>
      <w:pPr>
        <w:pStyle w:val="Heading2"/>
        <w:keepNext/>
        <w:spacing w:after="100" w:before="200"/>
      </w:pPr>
      <w:r>
        <w:rPr>
          <w:rFonts w:ascii="Arial" w:cs="Arial" w:eastAsia="Arial" w:hAnsi="Arial"/>
          <w:b/>
          <w:bCs/>
          <w:sz w:val="22"/>
          <w:szCs w:val="22"/>
        </w:rPr>
        <w:t xml:space="preserve">10.2. Wartungszyklen</w:t>
      </w:r>
    </w:p>
    <w:p>
      <w:pPr>
        <w:spacing w:after="120"/>
      </w:pPr>
      <w:r>
        <w:rPr>
          <w:rFonts w:ascii="Arial" w:cs="Arial" w:eastAsia="Arial" w:hAnsi="Arial"/>
          <w:sz w:val="20"/>
          <w:szCs w:val="20"/>
        </w:rPr>
        <w:t xml:space="preserve">Um einen sicheren Betrieb und eine lange Lebensdauer des Verladearms zu ermöglichen, sind neben den Drehgelenken auch Schwenktrieb, Elektromotor, Befestigungen, Leitungen, Sensorik, Not-Halt und Steuerung regelmäßig zu prüfen. Es gelten die nachfolgenden HETA-Intervalle sowie die Herstellerunterlagen der Zukaufteile: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Inspektionswartung</w:t>
            </w:r>
          </w:p>
        </w:tc>
        <w:tc>
          <w:tcPr>
            <w:tcW w:type="dxa" w:w="48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Grundwartung</w:t>
            </w:r>
          </w:p>
        </w:tc>
      </w:tr>
      <w:tr>
        <w:trPr>
          <w:cantSplit/>
          <w:tblHeader w:val="off"/>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2 Jahre nach Ersteinsatz, danach jährlich</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7 Jahre nach Ersteinsatz, danach alle 5 Jahre</w:t>
            </w:r>
          </w:p>
        </w:tc>
      </w:tr>
    </w:tbl>
    <w:p>
      <w:pPr>
        <w:spacing w:after="120"/>
      </w:pPr>
      <w:r>
        <w:rPr>
          <w:rFonts w:ascii="Arial" w:cs="Arial" w:eastAsia="Arial" w:hAnsi="Arial"/>
          <w:sz w:val="20"/>
          <w:szCs w:val="20"/>
        </w:rPr>
        <w:t xml:space="preserve"/>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Die Wartungen dürfen nur von Fachpersonal der Firma HETA Verfahrenstechnik GmbH durchgeführt werden.</w:t>
      </w:r>
    </w:p>
    <w:p>
      <w:pPr>
        <w:pStyle w:val="Heading1"/>
        <w:keepNext/>
        <w:spacing w:after="140" w:before="280"/>
      </w:pPr>
      <w:r>
        <w:rPr>
          <w:rFonts w:ascii="Arial" w:cs="Arial" w:eastAsia="Arial" w:hAnsi="Arial"/>
          <w:b/>
          <w:bCs/>
          <w:sz w:val="26"/>
          <w:szCs w:val="26"/>
        </w:rPr>
        <w:t xml:space="preserve">11. ERSATZTEILE</w:t>
      </w:r>
    </w:p>
    <w:p>
      <w:pPr>
        <w:pStyle w:val="Heading2"/>
        <w:keepNext/>
        <w:spacing w:after="100" w:before="200"/>
      </w:pPr>
      <w:r>
        <w:rPr>
          <w:rFonts w:ascii="Arial" w:cs="Arial" w:eastAsia="Arial" w:hAnsi="Arial"/>
          <w:b/>
          <w:bCs/>
          <w:sz w:val="22"/>
          <w:szCs w:val="22"/>
        </w:rPr>
        <w:t xml:space="preserve">11.1. Ersatzteilbestellung</w:t>
      </w:r>
    </w:p>
    <w:p>
      <w:pPr>
        <w:spacing w:after="120"/>
      </w:pPr>
      <w:r>
        <w:rPr>
          <w:rFonts w:ascii="Arial" w:cs="Arial" w:eastAsia="Arial" w:hAnsi="Arial"/>
          <w:sz w:val="20"/>
          <w:szCs w:val="20"/>
        </w:rPr>
        <w:t xml:space="preserve">Von Modell zu Modell können kleine Unterschiede zwischen den einzelnen Verladearmen bestehen. Geben Sie daher bei der Ersatzteilbestellung bitte an:</w:t>
      </w:r>
    </w:p>
    <w:p>
      <w:pPr>
        <w:pStyle w:val="ListParagraph"/>
        <w:numPr>
          <w:ilvl w:val="0"/>
          <w:numId w:val="2"/>
        </w:numPr>
        <w:spacing w:after="60"/>
      </w:pPr>
      <w:r>
        <w:rPr>
          <w:rFonts w:ascii="Arial" w:cs="Arial" w:eastAsia="Arial" w:hAnsi="Arial"/>
          <w:sz w:val="20"/>
          <w:szCs w:val="20"/>
        </w:rPr>
        <w:t xml:space="preserve">den Standort,</w:t>
      </w:r>
    </w:p>
    <w:p>
      <w:pPr>
        <w:pStyle w:val="ListParagraph"/>
        <w:numPr>
          <w:ilvl w:val="0"/>
          <w:numId w:val="2"/>
        </w:numPr>
        <w:spacing w:after="60"/>
      </w:pPr>
      <w:r>
        <w:rPr>
          <w:rFonts w:ascii="Arial" w:cs="Arial" w:eastAsia="Arial" w:hAnsi="Arial"/>
          <w:sz w:val="20"/>
          <w:szCs w:val="20"/>
        </w:rPr>
        <w:t xml:space="preserve">die Fabrik-Nr. des betreffenden Verladearms (siehe Fabrikschild),</w:t>
      </w:r>
    </w:p>
    <w:p>
      <w:pPr>
        <w:pStyle w:val="ListParagraph"/>
        <w:numPr>
          <w:ilvl w:val="0"/>
          <w:numId w:val="2"/>
        </w:numPr>
        <w:spacing w:after="60"/>
      </w:pPr>
      <w:r>
        <w:rPr>
          <w:rFonts w:ascii="Arial" w:cs="Arial" w:eastAsia="Arial" w:hAnsi="Arial"/>
          <w:sz w:val="20"/>
          <w:szCs w:val="20"/>
        </w:rPr>
        <w:t xml:space="preserve">die Ersatzteilbezeichnung,</w:t>
      </w:r>
    </w:p>
    <w:p>
      <w:pPr>
        <w:pStyle w:val="ListParagraph"/>
        <w:numPr>
          <w:ilvl w:val="0"/>
          <w:numId w:val="2"/>
        </w:numPr>
        <w:spacing w:after="60"/>
      </w:pPr>
      <w:r>
        <w:rPr>
          <w:rFonts w:ascii="Arial" w:cs="Arial" w:eastAsia="Arial" w:hAnsi="Arial"/>
          <w:sz w:val="20"/>
          <w:szCs w:val="20"/>
        </w:rPr>
        <w:t xml:space="preserve">die entsprechende Ersatzteil-Nummer.</w:t>
      </w:r>
    </w:p>
    <w:p>
      <w:pPr>
        <w:spacing w:after="120"/>
      </w:pPr>
      <w:r>
        <w:rPr>
          <w:rFonts w:ascii="Arial" w:cs="Arial" w:eastAsia="Arial" w:hAnsi="Arial"/>
          <w:sz w:val="20"/>
          <w:szCs w:val="20"/>
        </w:rPr>
        <w:t xml:space="preserve">Alle Ersatzteil-Nummern finden Sie auf der Übersichtszeichnung. Wenn Sie in der Ersatzteilliste den Hinweis „siehe Herstellerunterlagen“ finden, sehen Sie bitte in den entsprechenden Handbüchern nach. Finden Sie in der Ersatzteilliste den Hinweis auf eine Zeichnung, geben Sie bei der Bestellung bitte die entsprechende Zeichnungsnummer an.</w:t>
      </w:r>
    </w:p>
    <w:p>
      <w:pPr>
        <w:pStyle w:val="Heading2"/>
        <w:keepNext/>
        <w:spacing w:after="100" w:before="200"/>
      </w:pPr>
      <w:r>
        <w:rPr>
          <w:rFonts w:ascii="Arial" w:cs="Arial" w:eastAsia="Arial" w:hAnsi="Arial"/>
          <w:b/>
          <w:bCs/>
          <w:sz w:val="22"/>
          <w:szCs w:val="22"/>
        </w:rPr>
        <w:t xml:space="preserve">11.2. Ersatzteilliste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38"/>
        <w:gridCol w:w="3000"/>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Position</w:t>
            </w:r>
          </w:p>
        </w:tc>
        <w:tc>
          <w:tcPr>
            <w:tcW w:type="dxa" w:w="49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Bezeichnung</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Zeichnungs-Nr.</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Modell</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Obenverladearm elektrisch betätigt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00028433</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Werksnummer</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4793-01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Auftrag</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K-04793/26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Kunde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Projekt</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Schwenkantrieb</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30000-041</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Elektromotor RF47, 0,75 kW, 230/400 V, Ma 300 Nm</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61440-000</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Flachdichtung DN100 PN16, NBR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10162-001</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17</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Liquiphant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00006610</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21</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Ultraschallsensor M18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70018-000</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Drehgelenk 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00008424</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26</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Drehgelenk 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00028675</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Endlagensensor Drehgelenk (2×), Typ: [folgt]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siehe Stromlaufplan</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Induktiver Hindernissensor Lanze, Typ: [folgt]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siehe Stromlaufplan</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Hängetaster XAC-A2713 mit Not-Halt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siehe Stromlaufplan</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Frequenzumrichter SEW MOVITRAC</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siehe Herstellerunterlagen</w:t>
            </w:r>
          </w:p>
        </w:tc>
      </w:tr>
    </w:tbl>
    <w:p>
      <w:pPr>
        <w:pStyle w:val="Heading1"/>
        <w:keepNext/>
        <w:spacing w:after="140" w:before="280"/>
      </w:pPr>
      <w:r>
        <w:rPr>
          <w:rFonts w:ascii="Arial" w:cs="Arial" w:eastAsia="Arial" w:hAnsi="Arial"/>
          <w:b/>
          <w:bCs/>
          <w:sz w:val="26"/>
          <w:szCs w:val="26"/>
        </w:rPr>
        <w:t xml:space="preserve">12. GARANTIEBEDINGUNGEN</w:t>
      </w:r>
    </w:p>
    <w:p>
      <w:pPr>
        <w:pStyle w:val="Heading2"/>
        <w:keepNext/>
        <w:spacing w:after="100" w:before="200"/>
      </w:pPr>
      <w:r>
        <w:rPr>
          <w:rFonts w:ascii="Arial" w:cs="Arial" w:eastAsia="Arial" w:hAnsi="Arial"/>
          <w:b/>
          <w:bCs/>
          <w:sz w:val="22"/>
          <w:szCs w:val="22"/>
        </w:rPr>
        <w:t xml:space="preserve">12.1. Garantieeinschluss</w:t>
      </w:r>
    </w:p>
    <w:p>
      <w:pPr>
        <w:spacing w:after="120"/>
      </w:pPr>
      <w:r>
        <w:rPr>
          <w:rFonts w:ascii="Arial" w:cs="Arial" w:eastAsia="Arial" w:hAnsi="Arial"/>
          <w:sz w:val="20"/>
          <w:szCs w:val="20"/>
        </w:rPr>
        <w:t xml:space="preserve">Unsere Garantie schließt Fehler im Material oder Herstellungsfehler ein, die bei einer dem Vertrag und der Konstruktion entsprechenden Nutzung auftreten, vorausgesetzt, dass die Produkte in Übereinstimmung mit den Einbau- und Gebrauchsanweisungen der HETA Verfahrenstechnik GmbH genutzt werden. Der Verladearm wurde Druck-, Dichtheits- und Funktionstests im Herstellerwerk unterzogen.</w:t>
      </w:r>
    </w:p>
    <w:p>
      <w:pPr>
        <w:pStyle w:val="Heading2"/>
        <w:keepNext/>
        <w:spacing w:after="100" w:before="200"/>
      </w:pPr>
      <w:r>
        <w:rPr>
          <w:rFonts w:ascii="Arial" w:cs="Arial" w:eastAsia="Arial" w:hAnsi="Arial"/>
          <w:b/>
          <w:bCs/>
          <w:sz w:val="22"/>
          <w:szCs w:val="22"/>
        </w:rPr>
        <w:t xml:space="preserve">12.2. Garantiedauer</w:t>
      </w:r>
    </w:p>
    <w:p>
      <w:pPr>
        <w:spacing w:after="120"/>
      </w:pPr>
      <w:r>
        <w:rPr>
          <w:rFonts w:ascii="Arial" w:cs="Arial" w:eastAsia="Arial" w:hAnsi="Arial"/>
          <w:sz w:val="20"/>
          <w:szCs w:val="20"/>
        </w:rPr>
        <w:t xml:space="preserve">Es gilt die gesetzliche Garantiezeit von 12 Monaten nach Inbetriebnahme, jedoch nicht länger als 24 Monate nach Lieferung, Verschleiß- und Ersatzteile ausgenommen. Vorausgesetzt ist außerdem die einwandfreie Lagerung der Lieferung.</w:t>
      </w:r>
    </w:p>
    <w:p>
      <w:pPr>
        <w:pStyle w:val="Heading2"/>
        <w:keepNext/>
        <w:spacing w:after="100" w:before="200"/>
      </w:pPr>
      <w:r>
        <w:rPr>
          <w:rFonts w:ascii="Arial" w:cs="Arial" w:eastAsia="Arial" w:hAnsi="Arial"/>
          <w:b/>
          <w:bCs/>
          <w:sz w:val="22"/>
          <w:szCs w:val="22"/>
        </w:rPr>
        <w:t xml:space="preserve">12.3. Garantieausschluss</w:t>
      </w:r>
    </w:p>
    <w:p>
      <w:pPr>
        <w:spacing w:after="120"/>
      </w:pPr>
      <w:r>
        <w:rPr>
          <w:rFonts w:ascii="Arial" w:cs="Arial" w:eastAsia="Arial" w:hAnsi="Arial"/>
          <w:sz w:val="20"/>
          <w:szCs w:val="20"/>
        </w:rPr>
        <w:t xml:space="preserve">Die gegebene Garantie erlischt automatisch, wenn die Produkte von Dritten ohne Zustimmung der HETA Verfahrenstechnik GmbH verändert oder repariert werden.</w:t>
      </w:r>
    </w:p>
    <w:p>
      <w:pPr>
        <w:spacing w:after="120"/>
      </w:pPr>
      <w:r>
        <w:rPr>
          <w:rFonts w:ascii="Arial" w:cs="Arial" w:eastAsia="Arial" w:hAnsi="Arial"/>
          <w:sz w:val="20"/>
          <w:szCs w:val="20"/>
        </w:rPr>
        <w:t xml:space="preserve">Beschädigte Teile sind auszubauen und auf Kundenkosten an die HETA Verfahrenstechnik GmbH zu senden. Verschleißteile wie Gummiteile und Dichtungen unterliegen nicht der Garantie. Jeder Mangel muss binnen 7 Tagen nach Feststellung oder nachdem er hätte festgestellt werden können, schriftlich bekannt gegeben werden. Die HETA Verfahrenstechnik GmbH haftet nicht für Schäden, die sich aus dem Gebrauch der angebotenen oder gelieferten Produkte ergeben. Dies gilt auch für technische Instruktionen oder Daten.</w:t>
      </w:r>
    </w:p>
    <w:p>
      <w:pPr>
        <w:spacing w:after="120"/>
      </w:pPr>
      <w:r>
        <w:rPr>
          <w:rFonts w:ascii="Arial" w:cs="Arial" w:eastAsia="Arial" w:hAnsi="Arial"/>
          <w:sz w:val="20"/>
          <w:szCs w:val="20"/>
        </w:rPr>
        <w:t xml:space="preserve">Wir behalten uns das Recht vor, Änderungen in der Konstruktion, Herstellung oder im Material vorzunehmen, wenn dies aufgrund technischer Überlegungen oder im Hinblick auf eine Produktionsverbesserung angeraten erscheint.</w:t>
      </w:r>
    </w:p>
    <w:p>
      <w:pPr>
        <w:pStyle w:val="Heading2"/>
        <w:keepNext/>
        <w:spacing w:after="100" w:before="200"/>
      </w:pPr>
      <w:r>
        <w:rPr>
          <w:rFonts w:ascii="Arial" w:cs="Arial" w:eastAsia="Arial" w:hAnsi="Arial"/>
          <w:b/>
          <w:bCs/>
          <w:sz w:val="22"/>
          <w:szCs w:val="22"/>
        </w:rPr>
        <w:t xml:space="preserve">12.4. Versand gebrauchter Geräte an die HETA Verfahrenstechnik GmbH</w:t>
      </w:r>
    </w:p>
    <w:p>
      <w:pPr>
        <w:spacing w:after="120"/>
      </w:pPr>
      <w:r>
        <w:rPr>
          <w:rFonts w:ascii="Arial" w:cs="Arial" w:eastAsia="Arial" w:hAnsi="Arial"/>
          <w:sz w:val="20"/>
          <w:szCs w:val="20"/>
        </w:rPr>
        <w:t xml:space="preserve">Um den geltenden Umwelt- und Arbeitsschutzbestimmungen zu entsprechen, hat die HETA Verfahrenstechnik GmbH folgende Regelung für retournierte Geräte/Anlagenteile eingeführt:</w:t>
      </w:r>
    </w:p>
    <w:p>
      <w:pPr>
        <w:pStyle w:val="ListParagraph"/>
        <w:numPr>
          <w:ilvl w:val="0"/>
          <w:numId w:val="2"/>
        </w:numPr>
        <w:spacing w:after="60"/>
      </w:pPr>
      <w:r>
        <w:rPr>
          <w:rFonts w:ascii="Arial" w:cs="Arial" w:eastAsia="Arial" w:hAnsi="Arial"/>
          <w:sz w:val="20"/>
          <w:szCs w:val="20"/>
        </w:rPr>
        <w:t xml:space="preserve">Alle gebrauchten Geräte/Teile müssen vor dem Versand entsprechend den geltenden Umwelt- und Arbeitsschutzbestimmungen gereinigt bzw. dekontaminiert werden.</w:t>
      </w:r>
    </w:p>
    <w:p>
      <w:pPr>
        <w:pStyle w:val="ListParagraph"/>
        <w:numPr>
          <w:ilvl w:val="0"/>
          <w:numId w:val="2"/>
        </w:numPr>
        <w:spacing w:after="60"/>
      </w:pPr>
      <w:r>
        <w:rPr>
          <w:rFonts w:ascii="Arial" w:cs="Arial" w:eastAsia="Arial" w:hAnsi="Arial"/>
          <w:sz w:val="20"/>
          <w:szCs w:val="20"/>
        </w:rPr>
        <w:t xml:space="preserve">Die Geräte sind einzeln zu verpacken.</w:t>
      </w:r>
    </w:p>
    <w:p>
      <w:pPr>
        <w:pStyle w:val="ListParagraph"/>
        <w:numPr>
          <w:ilvl w:val="0"/>
          <w:numId w:val="2"/>
        </w:numPr>
        <w:spacing w:after="60"/>
      </w:pPr>
      <w:r>
        <w:rPr>
          <w:rFonts w:ascii="Arial" w:cs="Arial" w:eastAsia="Arial" w:hAnsi="Arial"/>
          <w:sz w:val="20"/>
          <w:szCs w:val="20"/>
        </w:rPr>
        <w:t xml:space="preserve">Außen an der Verpackung ist ein Datenblatt anzubringen, aus dem hervorgeht, mit welchen Flüssigkeiten oder Gasen das Gerät betrieben bzw. mit welchen Mitteln es gereinigt wurde.</w:t>
      </w:r>
    </w:p>
    <w:p>
      <w:pPr>
        <w:pStyle w:val="ListParagraph"/>
        <w:numPr>
          <w:ilvl w:val="0"/>
          <w:numId w:val="2"/>
        </w:numPr>
        <w:spacing w:after="60"/>
      </w:pPr>
      <w:r>
        <w:rPr>
          <w:rFonts w:ascii="Arial" w:cs="Arial" w:eastAsia="Arial" w:hAnsi="Arial"/>
          <w:sz w:val="20"/>
          <w:szCs w:val="20"/>
        </w:rPr>
        <w:t xml:space="preserve">Für die genannten Stoffe ist das gültige Sicherheitsdatenblatt beizufügen.</w:t>
      </w:r>
    </w:p>
    <w:p>
      <w:pPr>
        <w:pStyle w:val="ListParagraph"/>
        <w:numPr>
          <w:ilvl w:val="0"/>
          <w:numId w:val="2"/>
        </w:numPr>
        <w:spacing w:after="60"/>
      </w:pPr>
      <w:r>
        <w:rPr>
          <w:rFonts w:ascii="Arial" w:cs="Arial" w:eastAsia="Arial" w:hAnsi="Arial"/>
          <w:sz w:val="20"/>
          <w:szCs w:val="20"/>
        </w:rPr>
        <w:t xml:space="preserve">Wir behalten uns vor, Sendungen ohne vollständig ausgefülltes und unterschriebenes Datenblatt und/oder ungereinigte Geräte nach unserer Wahl auf Kosten des Absenders zu reinigen oder ungereinigt zurückzuschicken.</w:t>
      </w:r>
    </w:p>
    <w:p>
      <w:pPr>
        <w:pStyle w:val="Heading1"/>
        <w:keepNext/>
        <w:spacing w:after="140" w:before="280"/>
      </w:pPr>
      <w:r>
        <w:rPr>
          <w:rFonts w:ascii="Arial" w:cs="Arial" w:eastAsia="Arial" w:hAnsi="Arial"/>
          <w:b/>
          <w:bCs/>
          <w:sz w:val="26"/>
          <w:szCs w:val="26"/>
        </w:rPr>
        <w:t xml:space="preserve">13. AUSSERBETRIEBNAHME UND ENTSORGUNG</w:t>
      </w:r>
    </w:p>
    <w:p>
      <w:pPr>
        <w:pStyle w:val="ListParagraph"/>
        <w:numPr>
          <w:ilvl w:val="0"/>
          <w:numId w:val="2"/>
        </w:numPr>
        <w:spacing w:after="60"/>
      </w:pPr>
      <w:r>
        <w:rPr>
          <w:rFonts w:ascii="Arial" w:cs="Arial" w:eastAsia="Arial" w:hAnsi="Arial"/>
          <w:sz w:val="20"/>
          <w:szCs w:val="20"/>
        </w:rPr>
        <w:t xml:space="preserve">Produktzufuhr absperren und Anlage vollständig drucklos setzen.</w:t>
      </w:r>
    </w:p>
    <w:p>
      <w:pPr>
        <w:pStyle w:val="ListParagraph"/>
        <w:numPr>
          <w:ilvl w:val="0"/>
          <w:numId w:val="2"/>
        </w:numPr>
        <w:spacing w:after="60"/>
      </w:pPr>
      <w:r>
        <w:rPr>
          <w:rFonts w:ascii="Arial" w:cs="Arial" w:eastAsia="Arial" w:hAnsi="Arial"/>
          <w:sz w:val="20"/>
          <w:szCs w:val="20"/>
        </w:rPr>
        <w:t xml:space="preserve">Verladearm mediumgerecht reinigen bzw. dekontaminieren.</w:t>
      </w:r>
    </w:p>
    <w:p>
      <w:pPr>
        <w:pStyle w:val="ListParagraph"/>
        <w:numPr>
          <w:ilvl w:val="0"/>
          <w:numId w:val="2"/>
        </w:numPr>
        <w:spacing w:after="60"/>
      </w:pPr>
      <w:r>
        <w:rPr>
          <w:rFonts w:ascii="Arial" w:cs="Arial" w:eastAsia="Arial" w:hAnsi="Arial"/>
          <w:sz w:val="20"/>
          <w:szCs w:val="20"/>
        </w:rPr>
        <w:t xml:space="preserve">Hauptschalter auf „0“ stellen, CEE-Stecker ziehen und gegen Wiedereinschalten sichern.</w:t>
      </w:r>
    </w:p>
    <w:p>
      <w:pPr>
        <w:pStyle w:val="ListParagraph"/>
        <w:numPr>
          <w:ilvl w:val="0"/>
          <w:numId w:val="2"/>
        </w:numPr>
        <w:spacing w:after="60"/>
      </w:pPr>
      <w:r>
        <w:rPr>
          <w:rFonts w:ascii="Arial" w:cs="Arial" w:eastAsia="Arial" w:hAnsi="Arial"/>
          <w:sz w:val="20"/>
          <w:szCs w:val="20"/>
        </w:rPr>
        <w:t xml:space="preserve">Arm vor der Demontage mechanisch gegen Bewegung sichern.</w:t>
      </w:r>
    </w:p>
    <w:p>
      <w:pPr>
        <w:pStyle w:val="ListParagraph"/>
        <w:numPr>
          <w:ilvl w:val="0"/>
          <w:numId w:val="2"/>
        </w:numPr>
        <w:spacing w:after="60"/>
      </w:pPr>
      <w:r>
        <w:rPr>
          <w:rFonts w:ascii="Arial" w:cs="Arial" w:eastAsia="Arial" w:hAnsi="Arial"/>
          <w:sz w:val="20"/>
          <w:szCs w:val="20"/>
        </w:rPr>
        <w:t xml:space="preserve">Bauteile werkstoffgerecht und nach örtlichen Vorgaben entsorgen; Elektro- und Elektronikkomponenten gemäß den geltenden Vorschriften.</w:t>
      </w:r>
    </w:p>
    <w:p>
      <w:pPr>
        <w:pStyle w:val="Heading1"/>
        <w:keepNext/>
        <w:spacing w:after="140" w:before="280"/>
      </w:pPr>
      <w:r>
        <w:rPr>
          <w:rFonts w:ascii="Arial" w:cs="Arial" w:eastAsia="Arial" w:hAnsi="Arial"/>
          <w:b/>
          <w:bCs/>
          <w:sz w:val="26"/>
          <w:szCs w:val="26"/>
        </w:rPr>
        <w:t xml:space="preserve">14. MITGELTENDE UNTERLAGEN UND FREIGABEPUNKTE</w:t>
      </w:r>
    </w:p>
    <w:p>
      <w:pPr>
        <w:pStyle w:val="ListParagraph"/>
        <w:numPr>
          <w:ilvl w:val="0"/>
          <w:numId w:val="2"/>
        </w:numPr>
        <w:spacing w:after="60"/>
      </w:pPr>
      <w:r>
        <w:rPr>
          <w:rFonts w:ascii="Arial" w:cs="Arial" w:eastAsia="Arial" w:hAnsi="Arial"/>
          <w:sz w:val="20"/>
          <w:szCs w:val="20"/>
        </w:rPr>
        <w:t xml:space="preserve">HETA-Zeichnung und Stückliste </w:t>
      </w:r>
      <w:r>
        <w:rPr>
          <w:rFonts w:ascii="Arial" w:cs="Arial" w:eastAsia="Arial" w:hAnsi="Arial"/>
          <w:b/>
          <w:bCs/>
          <w:i/>
          <w:iCs/>
          <w:sz w:val="20"/>
          <w:szCs w:val="20"/>
        </w:rPr>
        <w:t xml:space="preserve">00028433</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Freigegebener Stromlauf- und Klemmenplan Simotec SIMO-100-2605-00099.</w:t>
      </w:r>
    </w:p>
    <w:p>
      <w:pPr>
        <w:pStyle w:val="ListParagraph"/>
        <w:numPr>
          <w:ilvl w:val="0"/>
          <w:numId w:val="2"/>
        </w:numPr>
        <w:spacing w:after="60"/>
      </w:pPr>
      <w:r>
        <w:rPr>
          <w:rFonts w:ascii="Arial" w:cs="Arial" w:eastAsia="Arial" w:hAnsi="Arial"/>
          <w:sz w:val="20"/>
          <w:szCs w:val="20"/>
        </w:rPr>
        <w:t xml:space="preserve">Herstellerunterlagen Elektromotor/Getriebe RF47.</w:t>
      </w:r>
    </w:p>
    <w:p>
      <w:pPr>
        <w:pStyle w:val="ListParagraph"/>
        <w:numPr>
          <w:ilvl w:val="0"/>
          <w:numId w:val="2"/>
        </w:numPr>
        <w:spacing w:after="60"/>
      </w:pPr>
      <w:r>
        <w:rPr>
          <w:rFonts w:ascii="Arial" w:cs="Arial" w:eastAsia="Arial" w:hAnsi="Arial"/>
          <w:sz w:val="20"/>
          <w:szCs w:val="20"/>
        </w:rPr>
        <w:t xml:space="preserve">Betriebsanleitung Frequenzumrichter SEW MOVITRAC.</w:t>
      </w:r>
    </w:p>
    <w:p>
      <w:pPr>
        <w:pStyle w:val="ListParagraph"/>
        <w:numPr>
          <w:ilvl w:val="0"/>
          <w:numId w:val="2"/>
        </w:numPr>
        <w:spacing w:after="60"/>
      </w:pPr>
      <w:r>
        <w:rPr>
          <w:rFonts w:ascii="Arial" w:cs="Arial" w:eastAsia="Arial" w:hAnsi="Arial"/>
          <w:sz w:val="20"/>
          <w:szCs w:val="20"/>
        </w:rPr>
        <w:t xml:space="preserve">Herstellerunterlagen Liquiphant und Ultraschallsensor UGT300.</w:t>
      </w:r>
    </w:p>
    <w:p>
      <w:pPr>
        <w:pStyle w:val="ListParagraph"/>
        <w:numPr>
          <w:ilvl w:val="0"/>
          <w:numId w:val="2"/>
        </w:numPr>
        <w:spacing w:after="60"/>
      </w:pPr>
      <w:r>
        <w:rPr>
          <w:rFonts w:ascii="Arial" w:cs="Arial" w:eastAsia="Arial" w:hAnsi="Arial"/>
          <w:sz w:val="20"/>
          <w:szCs w:val="20"/>
        </w:rPr>
        <w:t xml:space="preserve">Herstellerunterlagen Endlagensensoren und Hindernissensor.</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OMIM-4793   |   Seite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von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pPr>
    <w:r>
      <w:rPr>
        <w:rFonts w:ascii="Arial" w:cs="Arial" w:eastAsia="Arial" w:hAnsi="Arial"/>
        <w:b/>
        <w:bCs/>
        <w:sz w:val="16"/>
        <w:szCs w:val="16"/>
      </w:rPr>
      <w:t xml:space="preserve">HETA Verfahrenstechnik GmbH</w:t>
    </w:r>
    <w:r>
      <w:rPr>
        <w:rFonts w:ascii="Arial" w:cs="Arial" w:eastAsia="Arial" w:hAnsi="Arial"/>
        <w:sz w:val="16"/>
        <w:szCs w:val="16"/>
      </w:rPr>
      <w:t xml:space="preserve">   |   Betriebs-, Wartungs- und Installationshandbuch – Obenverladearm elektrisch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lvl>
    <w:lvl w:ilvl="1" w: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 w:type="paragraph" w:styleId="Heading2">
    <w:name w:val="Heading 2"/>
    <w:basedOn w:val="Normal"/>
    <w:next w:val="Normal"/>
    <w:qFormat/>
    <w:pPr>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2026-10-20T16:22:07.387Z</dcterms:created>
  <dcterms:modified xsi:type="dcterms:W3CDTF">2026-10-20T16:22:07.387Z</dcterms:modified>
</cp:coreProperties>
</file>

<file path=docProps/custom.xml><?xml version="1.0" encoding="utf-8"?>
<Properties xmlns="http://schemas.openxmlformats.org/officeDocument/2006/custom-properties" xmlns:vt="http://schemas.openxmlformats.org/officeDocument/2006/docPropsVTypes"/>
</file>